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1680"/>
      </w:pPr>
    </w:p>
    <w:p>
      <w:pPr>
        <w:ind w:firstLine="31680"/>
      </w:pPr>
    </w:p>
    <w:p>
      <w:pPr>
        <w:ind w:firstLine="0" w:firstLineChars="0"/>
        <w:jc w:val="center"/>
      </w:pPr>
      <w:r>
        <w:rPr>
          <w:rFonts w:hint="eastAsia" w:eastAsia="仿宋_GB2312" w:cs="仿宋_GB2312"/>
          <w:color w:val="000000"/>
          <w:kern w:val="0"/>
        </w:rPr>
        <w:t>淄财办发〔</w:t>
      </w:r>
      <w:r>
        <w:rPr>
          <w:rFonts w:eastAsia="仿宋_GB2312"/>
          <w:color w:val="000000"/>
          <w:kern w:val="0"/>
        </w:rPr>
        <w:t>2023</w:t>
      </w:r>
      <w:r>
        <w:rPr>
          <w:rFonts w:hint="eastAsia" w:eastAsia="仿宋_GB2312" w:cs="仿宋_GB2312"/>
          <w:color w:val="000000"/>
          <w:kern w:val="0"/>
        </w:rPr>
        <w:t>〕</w:t>
      </w:r>
      <w:r>
        <w:rPr>
          <w:rFonts w:eastAsia="仿宋_GB2312"/>
          <w:color w:val="000000"/>
          <w:kern w:val="0"/>
        </w:rPr>
        <w:t>7</w:t>
      </w:r>
      <w:r>
        <w:rPr>
          <w:rFonts w:hint="eastAsia" w:eastAsia="仿宋_GB2312" w:cs="仿宋_GB2312"/>
          <w:color w:val="000000"/>
          <w:kern w:val="0"/>
        </w:rPr>
        <w:t>号</w:t>
      </w:r>
    </w:p>
    <w:p>
      <w:pPr>
        <w:ind w:firstLine="31680"/>
      </w:pPr>
    </w:p>
    <w:p>
      <w:pPr>
        <w:spacing w:line="600" w:lineRule="exact"/>
        <w:ind w:firstLine="0" w:firstLineChars="0"/>
        <w:jc w:val="center"/>
        <w:rPr>
          <w:rFonts w:hint="eastAsia" w:eastAsia="方正小标宋简体" w:cs="方正小标宋简体"/>
          <w:spacing w:val="12"/>
          <w:sz w:val="44"/>
          <w:szCs w:val="44"/>
        </w:rPr>
      </w:pPr>
      <w:r>
        <w:rPr>
          <w:rFonts w:hint="eastAsia" w:eastAsia="方正小标宋简体" w:cs="方正小标宋简体"/>
          <w:spacing w:val="12"/>
          <w:sz w:val="44"/>
          <w:szCs w:val="44"/>
        </w:rPr>
        <w:t>关于印发《淄博市市级应急转贷基金管理</w:t>
      </w:r>
    </w:p>
    <w:p>
      <w:pPr>
        <w:spacing w:line="600" w:lineRule="exact"/>
        <w:ind w:firstLine="0" w:firstLineChars="0"/>
        <w:jc w:val="center"/>
        <w:rPr>
          <w:rFonts w:eastAsia="方正小标宋简体"/>
          <w:spacing w:val="12"/>
          <w:sz w:val="44"/>
          <w:szCs w:val="44"/>
        </w:rPr>
      </w:pPr>
      <w:r>
        <w:rPr>
          <w:rFonts w:hint="eastAsia" w:eastAsia="方正小标宋简体" w:cs="方正小标宋简体"/>
          <w:spacing w:val="12"/>
          <w:sz w:val="44"/>
          <w:szCs w:val="44"/>
        </w:rPr>
        <w:t>暂行办法》的通知</w:t>
      </w:r>
      <w:bookmarkStart w:id="0" w:name="_GoBack"/>
      <w:bookmarkEnd w:id="0"/>
    </w:p>
    <w:p>
      <w:pPr>
        <w:ind w:firstLine="31680"/>
      </w:pPr>
    </w:p>
    <w:p>
      <w:pPr>
        <w:ind w:firstLine="0" w:firstLineChars="0"/>
      </w:pPr>
      <w:r>
        <w:rPr>
          <w:rFonts w:hint="eastAsia" w:cs="仿宋"/>
        </w:rPr>
        <w:t>各区县财政局、工业和信息化局、地方金融监管局，高新区财金局、经济发展局，经开区财政局、产业发展促进局、金融产业发展招商中心，文昌湖区财政局、经济发展局，人民银行各区县支行，淄博银保监分局区县监管组：</w:t>
      </w:r>
    </w:p>
    <w:p>
      <w:pPr>
        <w:ind w:firstLine="31680"/>
      </w:pPr>
      <w:r>
        <w:rPr>
          <w:rFonts w:hint="eastAsia" w:cs="仿宋"/>
        </w:rPr>
        <w:t>为加强我市市级应急转贷基金管理，切实发挥应急转贷基金作用，有效缓解我市企业流动性困难，根据相关法律法规规定，制定本办法，现印发给你们，请遵照执行。</w:t>
      </w:r>
    </w:p>
    <w:p>
      <w:pPr>
        <w:ind w:firstLine="31680"/>
      </w:pPr>
    </w:p>
    <w:p>
      <w:pPr>
        <w:ind w:firstLine="0" w:firstLineChars="0"/>
        <w:jc w:val="center"/>
      </w:pPr>
      <w:r>
        <w:rPr>
          <w:rFonts w:hint="eastAsia" w:cs="仿宋"/>
        </w:rPr>
        <w:t>淄博市财政局</w:t>
      </w:r>
      <w:r>
        <w:t xml:space="preserve">               </w:t>
      </w:r>
      <w:r>
        <w:rPr>
          <w:rFonts w:hint="eastAsia" w:cs="仿宋"/>
        </w:rPr>
        <w:t>淄博市工业和信息化局</w:t>
      </w:r>
    </w:p>
    <w:p>
      <w:pPr>
        <w:ind w:firstLine="0" w:firstLineChars="0"/>
        <w:jc w:val="center"/>
      </w:pPr>
    </w:p>
    <w:p>
      <w:pPr>
        <w:ind w:firstLine="0" w:firstLineChars="0"/>
        <w:jc w:val="center"/>
      </w:pPr>
      <w:r>
        <w:rPr>
          <w:rFonts w:hint="eastAsia" w:cs="仿宋"/>
        </w:rPr>
        <w:t>淄博市地方金融监督管理局</w:t>
      </w:r>
      <w:r>
        <w:t xml:space="preserve">   </w:t>
      </w:r>
      <w:r>
        <w:rPr>
          <w:rFonts w:hint="eastAsia" w:cs="仿宋"/>
        </w:rPr>
        <w:t>中国人民银行淄博市中心支行</w:t>
      </w:r>
    </w:p>
    <w:p>
      <w:pPr>
        <w:ind w:firstLine="0" w:firstLineChars="0"/>
        <w:jc w:val="center"/>
      </w:pPr>
    </w:p>
    <w:p>
      <w:pPr>
        <w:ind w:firstLine="0" w:firstLineChars="0"/>
        <w:jc w:val="center"/>
      </w:pPr>
      <w:r>
        <w:t xml:space="preserve">                           </w:t>
      </w:r>
      <w:r>
        <w:rPr>
          <w:rFonts w:hint="eastAsia" w:cs="仿宋"/>
        </w:rPr>
        <w:t>中国银行保险监督管理委员会</w:t>
      </w:r>
    </w:p>
    <w:p>
      <w:pPr>
        <w:ind w:firstLine="0" w:firstLineChars="0"/>
        <w:jc w:val="center"/>
      </w:pPr>
      <w:r>
        <w:t xml:space="preserve">                            </w:t>
      </w:r>
      <w:r>
        <w:rPr>
          <w:rFonts w:hint="eastAsia" w:cs="仿宋"/>
        </w:rPr>
        <w:t>淄博监管分局</w:t>
      </w:r>
    </w:p>
    <w:p>
      <w:pPr>
        <w:ind w:firstLine="0" w:firstLineChars="0"/>
        <w:jc w:val="center"/>
      </w:pPr>
      <w:r>
        <w:t xml:space="preserve">                             2023</w:t>
      </w:r>
      <w:r>
        <w:rPr>
          <w:rFonts w:hint="eastAsia" w:cs="仿宋"/>
        </w:rPr>
        <w:t>年</w:t>
      </w:r>
      <w:r>
        <w:t>3</w:t>
      </w:r>
      <w:r>
        <w:rPr>
          <w:rFonts w:hint="eastAsia" w:cs="仿宋"/>
        </w:rPr>
        <w:t>月</w:t>
      </w:r>
      <w:r>
        <w:t>21</w:t>
      </w:r>
      <w:r>
        <w:rPr>
          <w:rFonts w:hint="eastAsia" w:cs="仿宋"/>
        </w:rPr>
        <w:t>日</w:t>
      </w:r>
    </w:p>
    <w:p>
      <w:pPr>
        <w:spacing w:line="600" w:lineRule="exact"/>
        <w:ind w:firstLine="0" w:firstLineChars="0"/>
        <w:jc w:val="center"/>
        <w:rPr>
          <w:rFonts w:eastAsia="方正小标宋简体"/>
          <w:spacing w:val="12"/>
          <w:sz w:val="44"/>
          <w:szCs w:val="44"/>
        </w:rPr>
      </w:pPr>
      <w:r>
        <w:rPr>
          <w:rFonts w:hint="eastAsia" w:eastAsia="方正小标宋简体" w:cs="方正小标宋简体"/>
          <w:spacing w:val="12"/>
          <w:sz w:val="44"/>
          <w:szCs w:val="44"/>
        </w:rPr>
        <w:t>淄博市市级应急转贷基金管理暂行办法</w:t>
      </w:r>
    </w:p>
    <w:p>
      <w:pPr>
        <w:ind w:firstLine="31680"/>
      </w:pP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eastAsia="黑体"/>
          <w:sz w:val="21"/>
          <w:szCs w:val="21"/>
        </w:rPr>
      </w:pPr>
      <w:r>
        <w:rPr>
          <w:rFonts w:hint="eastAsia" w:eastAsia="黑体" w:cs="黑体"/>
        </w:rPr>
        <w:t>第一章</w:t>
      </w:r>
      <w:r>
        <w:rPr>
          <w:rFonts w:eastAsia="黑体"/>
        </w:rPr>
        <w:t xml:space="preserve">  </w:t>
      </w:r>
      <w:r>
        <w:rPr>
          <w:rFonts w:hint="eastAsia" w:eastAsia="黑体" w:cs="黑体"/>
        </w:rPr>
        <w:t>总</w:t>
      </w:r>
      <w:r>
        <w:rPr>
          <w:rFonts w:eastAsia="黑体"/>
        </w:rPr>
        <w:t xml:space="preserve">  </w:t>
      </w:r>
      <w:r>
        <w:rPr>
          <w:rFonts w:hint="eastAsia" w:eastAsia="黑体" w:cs="黑体"/>
        </w:rPr>
        <w:t>则</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pPr>
      <w:r>
        <w:rPr>
          <w:rFonts w:hint="eastAsia" w:eastAsia="黑体" w:cs="黑体"/>
        </w:rPr>
        <w:t>第一条</w:t>
      </w:r>
      <w:r>
        <w:t xml:space="preserve">  </w:t>
      </w:r>
      <w:r>
        <w:rPr>
          <w:rFonts w:hint="eastAsia" w:cs="仿宋"/>
        </w:rPr>
        <w:t>为加强我市市级应急转贷基金管理，切实发挥应急转贷基金作用，有效缓解我市企业流动性困难，促进我市企业高质量发展，根据相关法律法规规定，制定本办法。</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pPr>
      <w:r>
        <w:rPr>
          <w:rFonts w:hint="eastAsia" w:eastAsia="黑体" w:cs="黑体"/>
        </w:rPr>
        <w:t>第二条</w:t>
      </w:r>
      <w:r>
        <w:t xml:space="preserve">  </w:t>
      </w:r>
      <w:r>
        <w:rPr>
          <w:rFonts w:hint="eastAsia" w:cs="仿宋"/>
        </w:rPr>
        <w:t>应急转贷基金主要为生产经营基本正常、具有持续经营能力、信用信息记录良好、资金周转暂时遇到困难的企业，提供资金融通服务。</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pPr>
      <w:r>
        <w:rPr>
          <w:rFonts w:hint="eastAsia" w:eastAsia="黑体" w:cs="黑体"/>
        </w:rPr>
        <w:t>第三条</w:t>
      </w:r>
      <w:r>
        <w:t xml:space="preserve">  </w:t>
      </w:r>
      <w:r>
        <w:rPr>
          <w:rFonts w:hint="eastAsia" w:cs="仿宋"/>
        </w:rPr>
        <w:t>应急转贷基金坚持政策指导、市场运作，专款专用、封闭运行的原则，发挥财政资金引导作用，吸引各类社会资本积极参与，通过市场化配置资源，实现商业化可持续发展。</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eastAsia="黑体"/>
        </w:rPr>
      </w:pPr>
      <w:r>
        <w:rPr>
          <w:rFonts w:hint="eastAsia" w:eastAsia="黑体" w:cs="黑体"/>
        </w:rPr>
        <w:t>第二章</w:t>
      </w:r>
      <w:r>
        <w:rPr>
          <w:rFonts w:eastAsia="黑体"/>
        </w:rPr>
        <w:t xml:space="preserve">  </w:t>
      </w:r>
      <w:r>
        <w:rPr>
          <w:rFonts w:hint="eastAsia" w:eastAsia="黑体" w:cs="黑体"/>
        </w:rPr>
        <w:t>基金构成与募集</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pPr>
      <w:r>
        <w:rPr>
          <w:rFonts w:hint="eastAsia" w:eastAsia="黑体" w:cs="黑体"/>
        </w:rPr>
        <w:t>第四条</w:t>
      </w:r>
      <w:r>
        <w:t xml:space="preserve">  </w:t>
      </w:r>
      <w:r>
        <w:rPr>
          <w:rFonts w:hint="eastAsia" w:cs="仿宋"/>
        </w:rPr>
        <w:t>应急转贷基金由市级引导资金、社会募集资金、基金运营收益、风险准备金等构成，鼓励区县级应急转贷引导基金自愿出资，并争取省级应急转贷引导基金出资。</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pPr>
      <w:r>
        <w:rPr>
          <w:rFonts w:hint="eastAsia" w:eastAsia="黑体" w:cs="黑体"/>
        </w:rPr>
        <w:t>第五条</w:t>
      </w:r>
      <w:r>
        <w:t xml:space="preserve">  </w:t>
      </w:r>
      <w:r>
        <w:rPr>
          <w:rFonts w:hint="eastAsia" w:cs="仿宋"/>
        </w:rPr>
        <w:t>应急转贷基金本着持续平稳运行、降低运营成本、提高服务效率的原则，合理确定基金规模；可根据社会资本供给主体认缴额度和实际业务开展情况，按比例分期到位。</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pPr>
      <w:r>
        <w:rPr>
          <w:rFonts w:hint="eastAsia" w:eastAsia="黑体" w:cs="黑体"/>
        </w:rPr>
        <w:t>第六条</w:t>
      </w:r>
      <w:r>
        <w:t xml:space="preserve">  </w:t>
      </w:r>
      <w:r>
        <w:rPr>
          <w:rFonts w:hint="eastAsia" w:cs="仿宋"/>
        </w:rPr>
        <w:t>市级引导资金主要发挥引导放大和保证增信作用。社会募集资金主要面向大型国有企业、实力雄厚的民营企业、经地方金融监管部门批准设立的小额贷款公司、民间资本管理公司，以及经营规范的投资公司等社会资本供给主体进行募集，根据企业应急转贷实际需要稳步增加。</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pPr>
      <w:r>
        <w:rPr>
          <w:rFonts w:hint="eastAsia" w:eastAsia="黑体" w:cs="黑体"/>
        </w:rPr>
        <w:t>第七条</w:t>
      </w:r>
      <w:r>
        <w:t xml:space="preserve">  </w:t>
      </w:r>
      <w:r>
        <w:rPr>
          <w:rFonts w:hint="eastAsia" w:cs="仿宋"/>
        </w:rPr>
        <w:t>社会资本供给主体提供的资金必须为自有、合法资金，不得从其他市场主体筹集资金，不得面向社会公众募集资金，不得通过变相贷款、股权抵</w:t>
      </w:r>
      <w:r>
        <w:t>(</w:t>
      </w:r>
      <w:r>
        <w:rPr>
          <w:rFonts w:hint="eastAsia" w:cs="仿宋"/>
        </w:rPr>
        <w:t>质</w:t>
      </w:r>
      <w:r>
        <w:t>)</w:t>
      </w:r>
      <w:r>
        <w:rPr>
          <w:rFonts w:hint="eastAsia" w:cs="仿宋"/>
        </w:rPr>
        <w:t>押等方式从金融机构募集资金。</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eastAsia="黑体"/>
        </w:rPr>
      </w:pPr>
      <w:r>
        <w:rPr>
          <w:rFonts w:hint="eastAsia" w:eastAsia="黑体" w:cs="黑体"/>
        </w:rPr>
        <w:t>第三章</w:t>
      </w:r>
      <w:r>
        <w:rPr>
          <w:rFonts w:eastAsia="黑体"/>
        </w:rPr>
        <w:t xml:space="preserve">  </w:t>
      </w:r>
      <w:r>
        <w:rPr>
          <w:rFonts w:hint="eastAsia" w:eastAsia="黑体" w:cs="黑体"/>
        </w:rPr>
        <w:t>基金管理运营机构</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pPr>
      <w:r>
        <w:rPr>
          <w:rFonts w:hint="eastAsia" w:eastAsia="黑体" w:cs="黑体"/>
        </w:rPr>
        <w:t>第八条</w:t>
      </w:r>
      <w:r>
        <w:t xml:space="preserve">  </w:t>
      </w:r>
      <w:r>
        <w:rPr>
          <w:rFonts w:hint="eastAsia" w:cs="仿宋"/>
        </w:rPr>
        <w:t>应急转贷基金采取有限合伙制或公司制等组织形式，严格按照合伙企业法或公司法有关规定管理运作。齐鲁资产管理（淄博）有限公司作为应急转贷基金运营机构，负责应急转贷基金管理和运营。</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pPr>
      <w:r>
        <w:rPr>
          <w:rFonts w:hint="eastAsia" w:eastAsia="黑体" w:cs="黑体"/>
        </w:rPr>
        <w:t>第九条</w:t>
      </w:r>
      <w:r>
        <w:t xml:space="preserve">  </w:t>
      </w:r>
      <w:r>
        <w:rPr>
          <w:rFonts w:hint="eastAsia" w:cs="仿宋"/>
        </w:rPr>
        <w:t>经市财政局同意，应急转贷基金运营机构可根据实际需要吸收本办法第六条规定的社会资本入股。</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pPr>
      <w:r>
        <w:rPr>
          <w:rFonts w:hint="eastAsia" w:eastAsia="黑体" w:cs="黑体"/>
        </w:rPr>
        <w:t>第十条</w:t>
      </w:r>
      <w:r>
        <w:t xml:space="preserve">  </w:t>
      </w:r>
      <w:r>
        <w:rPr>
          <w:rFonts w:hint="eastAsia" w:cs="仿宋"/>
        </w:rPr>
        <w:t>应急转贷基金运营机构应按照《山东省企业应急转贷服务体系市县（市、区）应急转贷机构备案管理暂行办法》和相关程序进行备案。</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pPr>
      <w:r>
        <w:rPr>
          <w:rFonts w:hint="eastAsia" w:eastAsia="黑体" w:cs="黑体"/>
        </w:rPr>
        <w:t>第十一条</w:t>
      </w:r>
      <w:r>
        <w:t xml:space="preserve">  </w:t>
      </w:r>
      <w:r>
        <w:rPr>
          <w:rFonts w:hint="eastAsia" w:cs="仿宋"/>
        </w:rPr>
        <w:t>应急转贷基金运营机构自主经营、自负盈亏，本着先急后缓、比例调配的原则匹配使用资金。</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pPr>
      <w:r>
        <w:rPr>
          <w:rFonts w:hint="eastAsia" w:eastAsia="黑体" w:cs="黑体"/>
        </w:rPr>
        <w:t>第十二条</w:t>
      </w:r>
      <w:r>
        <w:t xml:space="preserve">  </w:t>
      </w:r>
      <w:r>
        <w:rPr>
          <w:rFonts w:hint="eastAsia" w:cs="仿宋"/>
        </w:rPr>
        <w:t>应急转贷基金运营机构主要履行以下职能：</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pPr>
      <w:r>
        <w:rPr>
          <w:rFonts w:hint="eastAsia" w:cs="仿宋"/>
        </w:rPr>
        <w:t>（一）根据实际需要对接社会资本供给主体，募集社会资金。</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pPr>
      <w:r>
        <w:rPr>
          <w:rFonts w:hint="eastAsia" w:cs="仿宋"/>
        </w:rPr>
        <w:t>（二）根据企业资金周转需求，独立开展应急转贷业务。</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pPr>
      <w:r>
        <w:rPr>
          <w:rFonts w:hint="eastAsia" w:cs="仿宋"/>
        </w:rPr>
        <w:t>（三）对接合作银行机构，签订应急转贷业务合作协议，制定业务操作流程，协调解决业务运营过程中出现的问题。</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pPr>
      <w:r>
        <w:rPr>
          <w:rFonts w:hint="eastAsia" w:cs="仿宋"/>
        </w:rPr>
        <w:t>（四）对应急转贷基金使用情况全程跟踪管理，按照有关规定及时拨付、回收资金，进行财务管理和会计核算。</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pPr>
      <w:r>
        <w:rPr>
          <w:rFonts w:hint="eastAsia" w:cs="仿宋"/>
        </w:rPr>
        <w:t>（五）承办市企业应急转贷工作联席会议确定的其他事项。</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pPr>
      <w:r>
        <w:rPr>
          <w:rFonts w:hint="eastAsia" w:eastAsia="黑体" w:cs="黑体"/>
        </w:rPr>
        <w:t>第十三条</w:t>
      </w:r>
      <w:r>
        <w:t xml:space="preserve">  </w:t>
      </w:r>
      <w:r>
        <w:rPr>
          <w:rFonts w:hint="eastAsia" w:cs="仿宋"/>
        </w:rPr>
        <w:t>应急转贷基金运营机构高级管理人员原则上应具备银行业从业经历；具有良好的职业操守、品行和声誉，遵纪守法、诚实守信、勤勉尽责；熟悉经济、金融的法律法规，具有良好的合规意识和审慎经营意识。</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pPr>
      <w:r>
        <w:rPr>
          <w:rFonts w:hint="eastAsia" w:eastAsia="黑体" w:cs="黑体"/>
        </w:rPr>
        <w:t>第十四条</w:t>
      </w:r>
      <w:r>
        <w:t xml:space="preserve">  </w:t>
      </w:r>
      <w:r>
        <w:rPr>
          <w:rFonts w:hint="eastAsia" w:cs="仿宋"/>
        </w:rPr>
        <w:t>应急转贷基金运营机构本着收益与风险匹配、市场化可持续、保本微利运营的原则，可收取运营管理费用，用于业务开展。</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pPr>
      <w:r>
        <w:rPr>
          <w:rFonts w:hint="eastAsia" w:eastAsia="黑体" w:cs="黑体"/>
        </w:rPr>
        <w:t>第十五条</w:t>
      </w:r>
      <w:r>
        <w:t xml:space="preserve">  </w:t>
      </w:r>
      <w:r>
        <w:rPr>
          <w:rFonts w:hint="eastAsia" w:cs="仿宋"/>
        </w:rPr>
        <w:t>应急转贷基金运营机构与自愿申请、符合条件的区县应急转贷基金运营机构签订业务合作协议，约定双方权利、义务、责任和风险分担及债务追偿等要约条款。</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eastAsia="黑体"/>
        </w:rPr>
      </w:pPr>
      <w:r>
        <w:rPr>
          <w:rFonts w:hint="eastAsia" w:eastAsia="黑体" w:cs="黑体"/>
        </w:rPr>
        <w:t>第四章</w:t>
      </w:r>
      <w:r>
        <w:rPr>
          <w:rFonts w:eastAsia="黑体"/>
        </w:rPr>
        <w:t xml:space="preserve">  </w:t>
      </w:r>
      <w:r>
        <w:rPr>
          <w:rFonts w:hint="eastAsia" w:eastAsia="黑体" w:cs="黑体"/>
        </w:rPr>
        <w:t>基金运营管理</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pPr>
      <w:r>
        <w:rPr>
          <w:rFonts w:hint="eastAsia" w:eastAsia="黑体" w:cs="黑体"/>
        </w:rPr>
        <w:t>第十六条</w:t>
      </w:r>
      <w:r>
        <w:t xml:space="preserve">  </w:t>
      </w:r>
      <w:r>
        <w:rPr>
          <w:rFonts w:hint="eastAsia" w:cs="仿宋"/>
        </w:rPr>
        <w:t>应急转贷基金支持的企业，</w:t>
      </w:r>
      <w:r>
        <w:t xml:space="preserve"> </w:t>
      </w:r>
      <w:r>
        <w:rPr>
          <w:rFonts w:hint="eastAsia" w:cs="仿宋"/>
        </w:rPr>
        <w:t>应符合以下条件：</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pPr>
      <w:r>
        <w:rPr>
          <w:rFonts w:hint="eastAsia" w:cs="仿宋"/>
        </w:rPr>
        <w:t>（一）在淄博市行政区域内注册登记，财务管理规范，会</w:t>
      </w:r>
      <w:r>
        <w:t xml:space="preserve"> </w:t>
      </w:r>
      <w:r>
        <w:rPr>
          <w:rFonts w:hint="eastAsia" w:cs="仿宋"/>
        </w:rPr>
        <w:t>计制度健全。</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pPr>
      <w:r>
        <w:rPr>
          <w:rFonts w:hint="eastAsia" w:cs="仿宋"/>
        </w:rPr>
        <w:t>（二）符合国家产业政策和环保政策，安全生产达标，依</w:t>
      </w:r>
      <w:r>
        <w:t xml:space="preserve"> </w:t>
      </w:r>
      <w:r>
        <w:rPr>
          <w:rFonts w:hint="eastAsia" w:cs="仿宋"/>
        </w:rPr>
        <w:t>法合规经营，生产经营基本正常，具有持续经营能力。</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pPr>
      <w:r>
        <w:rPr>
          <w:rFonts w:hint="eastAsia" w:cs="仿宋"/>
        </w:rPr>
        <w:t>（三）信用信息记录良好，还款能力与还款意愿强，没有</w:t>
      </w:r>
      <w:r>
        <w:t xml:space="preserve"> </w:t>
      </w:r>
      <w:r>
        <w:rPr>
          <w:rFonts w:hint="eastAsia" w:cs="仿宋"/>
        </w:rPr>
        <w:t>挪用贷款资金违规行为，无不良信用记录。</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pPr>
      <w:r>
        <w:rPr>
          <w:rFonts w:hint="eastAsia" w:eastAsia="黑体" w:cs="黑体"/>
        </w:rPr>
        <w:t>第十七条</w:t>
      </w:r>
      <w:r>
        <w:t xml:space="preserve">  </w:t>
      </w:r>
      <w:r>
        <w:rPr>
          <w:rFonts w:hint="eastAsia" w:cs="仿宋"/>
        </w:rPr>
        <w:t>应急转贷基金为企业和应急转贷机构提供低成本的应急性融资，纾解企业资金周转困难。对于技术创新能力强、产业转型发展引领作用突出、符合新旧动能转换方向的民营骨干企业，应急转贷基金优先给予支持。为保障市重点企业、重点项目的资金周转需求，包括国有企业债券兑付等，经应急转贷基金运营机构内部决策，可以给予一定比例资金支持。</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pPr>
      <w:r>
        <w:rPr>
          <w:rFonts w:hint="eastAsia" w:eastAsia="黑体" w:cs="黑体"/>
        </w:rPr>
        <w:t>第十八条</w:t>
      </w:r>
      <w:r>
        <w:t xml:space="preserve">  </w:t>
      </w:r>
      <w:r>
        <w:rPr>
          <w:rFonts w:hint="eastAsia" w:cs="仿宋"/>
        </w:rPr>
        <w:t>区县应急转贷基金运营机构申请使用市级应急转贷基金，遵守以下操作流程：</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pPr>
      <w:r>
        <w:rPr>
          <w:rFonts w:hint="eastAsia" w:cs="仿宋"/>
        </w:rPr>
        <w:t>（一）资金申请。区县应急转贷基金运营机构完成业务初步审批调查，并获得合作银行同意转贷的证明材料后，在企业用款前</w:t>
      </w:r>
      <w:r>
        <w:t>2</w:t>
      </w:r>
      <w:r>
        <w:rPr>
          <w:rFonts w:hint="eastAsia" w:cs="仿宋"/>
        </w:rPr>
        <w:t>日内，通过区县应急转贷基金运营机构，向市级应急转贷基金运营机构提出转贷基金配资申请。</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pPr>
      <w:r>
        <w:rPr>
          <w:rFonts w:hint="eastAsia" w:cs="仿宋"/>
        </w:rPr>
        <w:t>（二）资金划转。市级应急转贷基金运营机构收到申请后经审核符合条件的，将应急转贷基金划入区县应急转贷基金运营机构资金专用账户。</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pPr>
      <w:r>
        <w:rPr>
          <w:rFonts w:hint="eastAsia" w:cs="仿宋"/>
        </w:rPr>
        <w:t>（三）资金收回。合作银行贷款发放、区县应急转贷基金运营机构资金收回后，依照匹配的基金额度及时将资金转回市级应急转贷基金运营机构基金专户，并支付相应的基金使用费用。</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pPr>
      <w:r>
        <w:rPr>
          <w:rFonts w:hint="eastAsia" w:cs="仿宋"/>
        </w:rPr>
        <w:t>（四）资料归档。应急转贷基金收回后，市级应急转贷基金运营机构将资金使用、收回全过程中形成的资料立卷归档</w:t>
      </w:r>
      <w:r>
        <w:t>(</w:t>
      </w:r>
      <w:r>
        <w:rPr>
          <w:rFonts w:hint="eastAsia" w:cs="仿宋"/>
        </w:rPr>
        <w:t>包括线上资料</w:t>
      </w:r>
      <w:r>
        <w:t>)</w:t>
      </w:r>
      <w:r>
        <w:rPr>
          <w:rFonts w:hint="eastAsia" w:cs="仿宋"/>
        </w:rPr>
        <w:t>，以备后查。</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pPr>
      <w:r>
        <w:rPr>
          <w:rFonts w:hint="eastAsia" w:cs="仿宋"/>
        </w:rPr>
        <w:t>企业申请使用市级应急转贷基金具体操作流程由应急转贷基金管理机构另行制定。</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pPr>
      <w:r>
        <w:rPr>
          <w:rFonts w:hint="eastAsia" w:eastAsia="黑体" w:cs="黑体"/>
        </w:rPr>
        <w:t>第十九条</w:t>
      </w:r>
      <w:r>
        <w:t xml:space="preserve">  </w:t>
      </w:r>
      <w:r>
        <w:rPr>
          <w:rFonts w:hint="eastAsia" w:cs="仿宋"/>
        </w:rPr>
        <w:t>应急转贷基金使用费按日收取，原则上每日使用费率不超过</w:t>
      </w:r>
      <w:r>
        <w:t>0.8‰</w:t>
      </w:r>
      <w:r>
        <w:rPr>
          <w:rFonts w:hint="eastAsia" w:cs="仿宋"/>
        </w:rPr>
        <w:t>。应急转贷基金运营机构可区分地域和企业不同情况，实施差别化费率，具体费率由市级应急转贷基金运营机构与区县应急转贷基金运营机构协商确定。</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pPr>
      <w:r>
        <w:rPr>
          <w:rFonts w:hint="eastAsia" w:eastAsia="黑体" w:cs="黑体"/>
        </w:rPr>
        <w:t>第二十条</w:t>
      </w:r>
      <w:r>
        <w:t xml:space="preserve">  </w:t>
      </w:r>
      <w:r>
        <w:rPr>
          <w:rFonts w:hint="eastAsia" w:cs="仿宋"/>
        </w:rPr>
        <w:t>应急转贷基金运营机构应根据企业和区县应急转贷基金运营机构业务需求，合理安排使用资金，及时提供一定比例配套资金支持；并不断提高应急转贷基金周转次数，逐步降低基金使用费率。</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pPr>
      <w:r>
        <w:rPr>
          <w:rFonts w:hint="eastAsia" w:eastAsia="黑体" w:cs="黑体"/>
        </w:rPr>
        <w:t>第二十一条</w:t>
      </w:r>
      <w:r>
        <w:t xml:space="preserve">  </w:t>
      </w:r>
      <w:r>
        <w:rPr>
          <w:rFonts w:hint="eastAsia" w:cs="仿宋"/>
        </w:rPr>
        <w:t>应急转贷基金设立专户实施封闭管理，市级应急转贷基金运营机构应与区县应急转贷基金运营机构约定设立固定银行转账账户，根据协议和需要及时转账，使用完毕后当日立即归还到市级应急转贷基金专用账户。</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eastAsia="黑体"/>
        </w:rPr>
      </w:pPr>
      <w:r>
        <w:rPr>
          <w:rFonts w:hint="eastAsia" w:eastAsia="黑体" w:cs="黑体"/>
        </w:rPr>
        <w:t>第五章</w:t>
      </w:r>
      <w:r>
        <w:rPr>
          <w:rFonts w:eastAsia="黑体"/>
        </w:rPr>
        <w:t xml:space="preserve">  </w:t>
      </w:r>
      <w:r>
        <w:rPr>
          <w:rFonts w:hint="eastAsia" w:eastAsia="黑体" w:cs="黑体"/>
        </w:rPr>
        <w:t>风险防控</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pPr>
      <w:r>
        <w:rPr>
          <w:rFonts w:hint="eastAsia" w:eastAsia="黑体" w:cs="黑体"/>
        </w:rPr>
        <w:t>第二十二条</w:t>
      </w:r>
      <w:r>
        <w:t xml:space="preserve">  </w:t>
      </w:r>
      <w:r>
        <w:rPr>
          <w:rFonts w:hint="eastAsia" w:cs="仿宋"/>
        </w:rPr>
        <w:t>应急转贷基金运营机构要强化风险意识，制定基金运作风险防控制度和内控管理制度，确保转贷基金专款专用、封闭运行，积极防范道德风险、操作风险等各类风险。</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pPr>
      <w:r>
        <w:rPr>
          <w:rFonts w:hint="eastAsia" w:eastAsia="黑体" w:cs="黑体"/>
        </w:rPr>
        <w:t>第二十三条</w:t>
      </w:r>
      <w:r>
        <w:t xml:space="preserve">  </w:t>
      </w:r>
      <w:r>
        <w:rPr>
          <w:rFonts w:hint="eastAsia" w:cs="仿宋"/>
        </w:rPr>
        <w:t>应急转贷基金运营机构要根据企业应急转贷业务特点组建专业团队，对重要岗位和关键环节实行定期轮岗、双人操作、相互制约。</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pPr>
      <w:r>
        <w:rPr>
          <w:rFonts w:hint="eastAsia" w:eastAsia="黑体" w:cs="黑体"/>
        </w:rPr>
        <w:t>第二十四条</w:t>
      </w:r>
      <w:r>
        <w:t xml:space="preserve">  </w:t>
      </w:r>
      <w:r>
        <w:rPr>
          <w:rFonts w:hint="eastAsia" w:cs="仿宋"/>
        </w:rPr>
        <w:t>应急转贷基金运营机构要持续开展企业应急转贷业务培训，切实提升工作人员综合素质和风险识别防范能力。</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pPr>
      <w:r>
        <w:rPr>
          <w:rFonts w:hint="eastAsia" w:eastAsia="黑体" w:cs="黑体"/>
        </w:rPr>
        <w:t>第二十五条</w:t>
      </w:r>
      <w:r>
        <w:t xml:space="preserve">  </w:t>
      </w:r>
      <w:r>
        <w:rPr>
          <w:rFonts w:hint="eastAsia" w:cs="仿宋"/>
        </w:rPr>
        <w:t>应急转贷基金运营机构应建立风险拨备制度，按税后利润的</w:t>
      </w:r>
      <w:r>
        <w:t>10%</w:t>
      </w:r>
      <w:r>
        <w:rPr>
          <w:rFonts w:hint="eastAsia" w:cs="仿宋"/>
        </w:rPr>
        <w:t>比例提取风险准备金，用于补偿业务运营过程中可能出现的风险损失。风险准备金累计金额达到实缴到位基金规模的</w:t>
      </w:r>
      <w:r>
        <w:t>3%</w:t>
      </w:r>
      <w:r>
        <w:rPr>
          <w:rFonts w:hint="eastAsia" w:cs="仿宋"/>
        </w:rPr>
        <w:t>后，可暂不再计提。风险准备金实行专户管理，除用于补偿业务经营形成的资金损失外，不得挪作他用。</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pPr>
      <w:r>
        <w:rPr>
          <w:rFonts w:hint="eastAsia" w:eastAsia="黑体" w:cs="黑体"/>
        </w:rPr>
        <w:t>第二十六条</w:t>
      </w:r>
      <w:r>
        <w:t xml:space="preserve">  </w:t>
      </w:r>
      <w:r>
        <w:rPr>
          <w:rFonts w:hint="eastAsia" w:cs="仿宋"/>
        </w:rPr>
        <w:t>应急转贷基金运营机构要研究制定合作银行《业务合作指引》，与符合指引规定条件的银行机构建立业务合作关系，签订业务合作协议。要与合作银行机构共同加强关键环节风险防范，针对银行转贷协议等转贷证明材料真实性、企业还款账户是否查封冻结、资金挪用可能性等重点风险隐患，提前研究制定有效防控措施。</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pPr>
      <w:r>
        <w:rPr>
          <w:rFonts w:hint="eastAsia" w:eastAsia="黑体" w:cs="黑体"/>
        </w:rPr>
        <w:t>第二十七条</w:t>
      </w:r>
      <w:r>
        <w:t xml:space="preserve">  </w:t>
      </w:r>
      <w:r>
        <w:rPr>
          <w:rFonts w:hint="eastAsia" w:cs="仿宋"/>
        </w:rPr>
        <w:t>应急转贷基金运营机构要加强资金管理，闲置资金可以存放银行机构、购买随时可变现的国债和评级</w:t>
      </w:r>
      <w:r>
        <w:t>AA+</w:t>
      </w:r>
      <w:r>
        <w:rPr>
          <w:rFonts w:hint="eastAsia" w:cs="仿宋"/>
        </w:rPr>
        <w:t>（含）以上的金融债券，实现保值增值。</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eastAsia="黑体"/>
        </w:rPr>
      </w:pPr>
      <w:r>
        <w:rPr>
          <w:rFonts w:hint="eastAsia" w:eastAsia="黑体" w:cs="黑体"/>
        </w:rPr>
        <w:t>第六章</w:t>
      </w:r>
      <w:r>
        <w:rPr>
          <w:rFonts w:eastAsia="黑体"/>
        </w:rPr>
        <w:t xml:space="preserve">  </w:t>
      </w:r>
      <w:r>
        <w:rPr>
          <w:rFonts w:hint="eastAsia" w:eastAsia="黑体" w:cs="黑体"/>
        </w:rPr>
        <w:t>监督管理</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pPr>
      <w:r>
        <w:rPr>
          <w:rFonts w:hint="eastAsia" w:eastAsia="黑体" w:cs="黑体"/>
        </w:rPr>
        <w:t>第二十八条</w:t>
      </w:r>
      <w:r>
        <w:t xml:space="preserve">  </w:t>
      </w:r>
      <w:r>
        <w:rPr>
          <w:rFonts w:hint="eastAsia" w:cs="仿宋"/>
        </w:rPr>
        <w:t>应急转贷基金运营机构要规范业务收费行为，对区县应急转贷基金运营机构匹配资金时，除资金使用费率以外，不得收取顾问费、咨询费、材料费等任何其他费用。</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pPr>
      <w:r>
        <w:rPr>
          <w:rFonts w:hint="eastAsia" w:eastAsia="黑体" w:cs="黑体"/>
        </w:rPr>
        <w:t>第二十九条</w:t>
      </w:r>
      <w:r>
        <w:t xml:space="preserve">  </w:t>
      </w:r>
      <w:r>
        <w:rPr>
          <w:rFonts w:hint="eastAsia" w:cs="仿宋"/>
        </w:rPr>
        <w:t>应急转贷基金运营机构管理人员要加强与区县应急转贷基金运营机构、申请企业和合作银行的沟通，认真审慎审核应急转贷业务申请材料，对转贷基金进行全过程实时跟踪，确保合作银行放款至专户账号后立即归还，防止各类风险发生。</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pPr>
      <w:r>
        <w:rPr>
          <w:rFonts w:hint="eastAsia" w:eastAsia="黑体" w:cs="黑体"/>
        </w:rPr>
        <w:t>第三十条</w:t>
      </w:r>
      <w:r>
        <w:t xml:space="preserve">  </w:t>
      </w:r>
      <w:r>
        <w:rPr>
          <w:rFonts w:hint="eastAsia" w:cs="仿宋"/>
        </w:rPr>
        <w:t>应急转贷基金运营机构应当聘请社会中介机构进行年度审计，并将审计报告及时报送市财政局。</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pPr>
      <w:r>
        <w:rPr>
          <w:rFonts w:hint="eastAsia" w:eastAsia="黑体" w:cs="黑体"/>
        </w:rPr>
        <w:t>第三十一条</w:t>
      </w:r>
      <w:r>
        <w:t xml:space="preserve">  </w:t>
      </w:r>
      <w:r>
        <w:rPr>
          <w:rFonts w:hint="eastAsia" w:cs="仿宋"/>
        </w:rPr>
        <w:t>由于区县应急转贷基金运营机构原因，造成</w:t>
      </w:r>
      <w:r>
        <w:t xml:space="preserve"> </w:t>
      </w:r>
      <w:r>
        <w:rPr>
          <w:rFonts w:hint="eastAsia" w:cs="仿宋"/>
        </w:rPr>
        <w:t>转贷基金损失和不能按时回收的，应急转贷基金运营机构要停止与其业务合作，并依法及时向其追偿。</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pPr>
      <w:r>
        <w:rPr>
          <w:rFonts w:hint="eastAsia" w:eastAsia="黑体" w:cs="黑体"/>
        </w:rPr>
        <w:t>第三十二条</w:t>
      </w:r>
      <w:r>
        <w:t xml:space="preserve">  </w:t>
      </w:r>
      <w:r>
        <w:rPr>
          <w:rFonts w:hint="eastAsia" w:cs="仿宋"/>
        </w:rPr>
        <w:t>由于合作银行主观原因</w:t>
      </w:r>
      <w:r>
        <w:rPr>
          <w:rFonts w:ascii="仿宋" w:hAnsi="仿宋" w:cs="仿宋"/>
        </w:rPr>
        <w:t>(</w:t>
      </w:r>
      <w:r>
        <w:rPr>
          <w:rFonts w:hint="eastAsia" w:cs="仿宋"/>
        </w:rPr>
        <w:t>制度流程、放款环节、</w:t>
      </w:r>
      <w:r>
        <w:t xml:space="preserve"> </w:t>
      </w:r>
      <w:r>
        <w:rPr>
          <w:rFonts w:hint="eastAsia" w:cs="仿宋"/>
        </w:rPr>
        <w:t>不可抗力等客观因素除外</w:t>
      </w:r>
      <w:r>
        <w:rPr>
          <w:rFonts w:ascii="仿宋" w:hAnsi="仿宋" w:cs="仿宋"/>
        </w:rPr>
        <w:t>)</w:t>
      </w:r>
      <w:r>
        <w:rPr>
          <w:rFonts w:hint="eastAsia" w:cs="仿宋"/>
        </w:rPr>
        <w:t>未按期续贷，导致资金未能按时归还基金账户的，应急转贷基金运营机构要取消合作银行资格，并依法及时向其追偿。</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pPr>
      <w:r>
        <w:rPr>
          <w:rFonts w:hint="eastAsia" w:eastAsia="黑体" w:cs="黑体"/>
        </w:rPr>
        <w:t>第三十三条</w:t>
      </w:r>
      <w:r>
        <w:t xml:space="preserve">  </w:t>
      </w:r>
      <w:r>
        <w:rPr>
          <w:rFonts w:hint="eastAsia" w:cs="仿宋"/>
        </w:rPr>
        <w:t>由于申请企业原因导致应急转贷基金未能按</w:t>
      </w:r>
      <w:r>
        <w:t xml:space="preserve"> </w:t>
      </w:r>
      <w:r>
        <w:rPr>
          <w:rFonts w:hint="eastAsia" w:cs="仿宋"/>
        </w:rPr>
        <w:t>时归还基金账户的，应急转贷基金运营机构要取消与该企业的业务合作，并依法及时向其追偿；对于恶意违约的企业，要将其违约信息纳入金融信用信息基础数据库等征信服务平台，按规定予以惩戒。</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pPr>
      <w:r>
        <w:rPr>
          <w:rFonts w:hint="eastAsia" w:eastAsia="黑体" w:cs="黑体"/>
        </w:rPr>
        <w:t>第三十四条</w:t>
      </w:r>
      <w:r>
        <w:t xml:space="preserve">  </w:t>
      </w:r>
      <w:r>
        <w:rPr>
          <w:rFonts w:hint="eastAsia" w:cs="仿宋"/>
        </w:rPr>
        <w:t>应急转贷基金运营机构、转贷申请企业、合作银行有关工作人员玩忽职守、弄虚作假，造成市级应急转贷基金损失的，依照有关规定予以处理。构成犯罪的，移交司法机关依法追究法律责任。</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eastAsia="黑体"/>
        </w:rPr>
      </w:pPr>
      <w:r>
        <w:rPr>
          <w:rFonts w:hint="eastAsia" w:eastAsia="黑体" w:cs="黑体"/>
        </w:rPr>
        <w:t>第七章</w:t>
      </w:r>
      <w:r>
        <w:rPr>
          <w:rFonts w:eastAsia="黑体"/>
        </w:rPr>
        <w:t xml:space="preserve">  </w:t>
      </w:r>
      <w:r>
        <w:rPr>
          <w:rFonts w:hint="eastAsia" w:eastAsia="黑体" w:cs="黑体"/>
        </w:rPr>
        <w:t>附</w:t>
      </w:r>
      <w:r>
        <w:rPr>
          <w:rFonts w:eastAsia="黑体"/>
        </w:rPr>
        <w:t xml:space="preserve">  </w:t>
      </w:r>
      <w:r>
        <w:rPr>
          <w:rFonts w:hint="eastAsia" w:eastAsia="黑体" w:cs="黑体"/>
        </w:rPr>
        <w:t>则</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pPr>
      <w:r>
        <w:rPr>
          <w:rFonts w:hint="eastAsia" w:eastAsia="黑体" w:cs="黑体"/>
        </w:rPr>
        <w:t>第三十五条</w:t>
      </w:r>
      <w:r>
        <w:t xml:space="preserve">  </w:t>
      </w:r>
      <w:r>
        <w:rPr>
          <w:rFonts w:hint="eastAsia" w:cs="仿宋"/>
        </w:rPr>
        <w:t>本办法由市财政局负责解释，并根据实施情况适时进行调整。</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pPr>
      <w:r>
        <w:rPr>
          <w:rFonts w:hint="eastAsia" w:eastAsia="黑体" w:cs="黑体"/>
        </w:rPr>
        <w:t>第三十六条</w:t>
      </w:r>
      <w:r>
        <w:t xml:space="preserve">  </w:t>
      </w:r>
      <w:r>
        <w:rPr>
          <w:rFonts w:hint="eastAsia" w:cs="仿宋"/>
        </w:rPr>
        <w:t>本办法自印发之日起施行，有效期至</w:t>
      </w:r>
      <w:r>
        <w:t>2025</w:t>
      </w:r>
      <w:r>
        <w:rPr>
          <w:rFonts w:hint="eastAsia" w:cs="仿宋"/>
        </w:rPr>
        <w:t>年</w:t>
      </w:r>
      <w:r>
        <w:t>3</w:t>
      </w:r>
      <w:r>
        <w:rPr>
          <w:rFonts w:hint="eastAsia" w:cs="仿宋"/>
        </w:rPr>
        <w:t>月</w:t>
      </w:r>
      <w:r>
        <w:t>20</w:t>
      </w:r>
      <w:r>
        <w:rPr>
          <w:rFonts w:hint="eastAsia" w:cs="仿宋"/>
        </w:rPr>
        <w:t>日。</w:t>
      </w:r>
    </w:p>
    <w:p>
      <w:pPr>
        <w:ind w:firstLine="31680"/>
      </w:pPr>
    </w:p>
    <w:p>
      <w:pPr>
        <w:ind w:firstLine="0" w:firstLineChars="0"/>
        <w:rPr>
          <w:rFonts w:hint="eastAsia" w:cs="仿宋"/>
          <w:sz w:val="28"/>
          <w:szCs w:val="28"/>
        </w:rPr>
      </w:pPr>
    </w:p>
    <w:p>
      <w:pPr>
        <w:ind w:firstLine="0" w:firstLineChars="0"/>
        <w:rPr>
          <w:rFonts w:hint="eastAsia" w:cs="仿宋"/>
          <w:sz w:val="28"/>
          <w:szCs w:val="28"/>
        </w:rPr>
      </w:pPr>
    </w:p>
    <w:p>
      <w:pPr>
        <w:ind w:firstLine="0" w:firstLineChars="0"/>
        <w:rPr>
          <w:rFonts w:hint="eastAsia" w:cs="仿宋"/>
          <w:sz w:val="28"/>
          <w:szCs w:val="28"/>
        </w:rPr>
      </w:pPr>
    </w:p>
    <w:p>
      <w:pPr>
        <w:ind w:firstLine="0" w:firstLineChars="0"/>
        <w:rPr>
          <w:rFonts w:hint="eastAsia" w:cs="仿宋"/>
          <w:sz w:val="28"/>
          <w:szCs w:val="28"/>
        </w:rPr>
      </w:pPr>
    </w:p>
    <w:p>
      <w:pPr>
        <w:ind w:firstLine="276" w:firstLineChars="100"/>
        <w:rPr>
          <w:sz w:val="28"/>
          <w:szCs w:val="28"/>
        </w:rPr>
      </w:pPr>
      <w:r>
        <w:rPr>
          <w:rFonts w:hint="eastAsia" w:cs="仿宋"/>
          <w:sz w:val="28"/>
          <w:szCs w:val="28"/>
        </w:rPr>
        <w:t>信息公开选项：主动公开</w:t>
      </w:r>
    </w:p>
    <w:p>
      <w:pPr>
        <w:ind w:firstLine="316" w:firstLineChars="100"/>
      </w:pPr>
      <w:r>
        <w:pict>
          <v:line id="直线 4" o:spid="_x0000_s1027" o:spt="20" style="position:absolute;left:0pt;margin-left:0pt;margin-top:0pt;height:0pt;width:442.4pt;z-index:251660288;mso-width-relative:page;mso-height-relative:page;" filled="t" coordsize="21600,21600">
            <v:path arrowok="t"/>
            <v:fill on="t" focussize="0,0"/>
            <v:stroke/>
            <v:imagedata o:title=""/>
            <o:lock v:ext="edit"/>
          </v:line>
        </w:pict>
      </w:r>
      <w:r>
        <w:pict>
          <v:line id="直线 5" o:spid="_x0000_s1028" o:spt="20" style="position:absolute;left:0pt;margin-left:0pt;margin-top:28.7pt;height:0pt;width:442.4pt;z-index:251659264;mso-width-relative:page;mso-height-relative:page;" filled="t" coordsize="21600,21600">
            <v:path arrowok="t"/>
            <v:fill on="t" focussize="0,0"/>
            <v:stroke/>
            <v:imagedata o:title=""/>
            <o:lock v:ext="edit"/>
          </v:line>
        </w:pict>
      </w:r>
      <w:r>
        <w:rPr>
          <w:rFonts w:hint="eastAsia" w:cs="仿宋"/>
          <w:sz w:val="28"/>
          <w:szCs w:val="28"/>
        </w:rPr>
        <w:t>淄博市财政局办公室</w:t>
      </w:r>
      <w:r>
        <w:rPr>
          <w:sz w:val="28"/>
          <w:szCs w:val="28"/>
        </w:rPr>
        <w:t xml:space="preserve">                       2023</w:t>
      </w:r>
      <w:r>
        <w:rPr>
          <w:rFonts w:hint="eastAsia" w:cs="仿宋"/>
          <w:sz w:val="28"/>
          <w:szCs w:val="28"/>
        </w:rPr>
        <w:t>年</w:t>
      </w:r>
      <w:r>
        <w:rPr>
          <w:sz w:val="28"/>
          <w:szCs w:val="28"/>
        </w:rPr>
        <w:t>3</w:t>
      </w:r>
      <w:r>
        <w:rPr>
          <w:rFonts w:hint="eastAsia" w:cs="仿宋"/>
          <w:sz w:val="28"/>
          <w:szCs w:val="28"/>
        </w:rPr>
        <w:t>月</w:t>
      </w:r>
      <w:r>
        <w:rPr>
          <w:sz w:val="28"/>
          <w:szCs w:val="28"/>
        </w:rPr>
        <w:t>21</w:t>
      </w:r>
      <w:r>
        <w:rPr>
          <w:rFonts w:hint="eastAsia" w:cs="仿宋"/>
          <w:sz w:val="28"/>
          <w:szCs w:val="28"/>
        </w:rPr>
        <w:t>日印发</w:t>
      </w:r>
    </w:p>
    <w:sectPr>
      <w:headerReference r:id="rId5" w:type="default"/>
      <w:footerReference r:id="rId6" w:type="default"/>
      <w:pgSz w:w="11906" w:h="16838"/>
      <w:pgMar w:top="2098" w:right="1531" w:bottom="2098" w:left="1531" w:header="851" w:footer="992" w:gutter="0"/>
      <w:cols w:space="0" w:num="1"/>
      <w:docGrid w:type="linesAndChars" w:linePitch="574"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1680"/>
      <w:rPr>
        <w:rStyle w:val="10"/>
        <w:rFonts w:ascii="仿宋"/>
        <w:sz w:val="28"/>
        <w:szCs w:val="28"/>
      </w:rPr>
    </w:pPr>
    <w:r>
      <w:pict>
        <v:shape id="_x0000_s2049" o:spid="_x0000_s2049"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6"/>
                  <w:ind w:firstLine="31680"/>
                </w:pPr>
                <w:r>
                  <w:rPr>
                    <w:rFonts w:ascii="仿宋" w:hAnsi="仿宋" w:cs="仿宋"/>
                    <w:sz w:val="28"/>
                    <w:szCs w:val="28"/>
                  </w:rPr>
                  <w:t>—</w:t>
                </w:r>
                <w:r>
                  <w:rPr>
                    <w:rFonts w:ascii="仿宋" w:hAnsi="仿宋" w:cs="仿宋"/>
                    <w:sz w:val="28"/>
                    <w:szCs w:val="28"/>
                  </w:rPr>
                  <w:fldChar w:fldCharType="begin"/>
                </w:r>
                <w:r>
                  <w:rPr>
                    <w:rFonts w:ascii="仿宋" w:hAnsi="仿宋" w:cs="仿宋"/>
                    <w:sz w:val="28"/>
                    <w:szCs w:val="28"/>
                  </w:rPr>
                  <w:instrText xml:space="preserve"> PAGE  \* MERGEFORMAT </w:instrText>
                </w:r>
                <w:r>
                  <w:rPr>
                    <w:rFonts w:ascii="仿宋" w:hAnsi="仿宋" w:cs="仿宋"/>
                    <w:sz w:val="28"/>
                    <w:szCs w:val="28"/>
                  </w:rPr>
                  <w:fldChar w:fldCharType="separate"/>
                </w:r>
                <w:r>
                  <w:rPr>
                    <w:rFonts w:ascii="仿宋" w:hAnsi="仿宋" w:cs="仿宋"/>
                    <w:sz w:val="28"/>
                    <w:szCs w:val="28"/>
                  </w:rPr>
                  <w:t>1</w:t>
                </w:r>
                <w:r>
                  <w:rPr>
                    <w:rFonts w:ascii="仿宋" w:hAnsi="仿宋" w:cs="仿宋"/>
                    <w:sz w:val="28"/>
                    <w:szCs w:val="28"/>
                  </w:rPr>
                  <w:fldChar w:fldCharType="end"/>
                </w:r>
                <w:r>
                  <w:rPr>
                    <w:rFonts w:ascii="仿宋" w:hAnsi="仿宋" w:cs="仿宋"/>
                    <w:sz w:val="28"/>
                    <w:szCs w:val="28"/>
                  </w:rPr>
                  <w:t>—</w:t>
                </w:r>
              </w:p>
            </w:txbxContent>
          </v:textbox>
        </v:shape>
      </w:pict>
    </w:r>
  </w:p>
  <w:p>
    <w:pPr>
      <w:pStyle w:val="6"/>
      <w:ind w:right="360" w:firstLine="316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16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VerticalSpacing w:val="156"/>
  <w:displayHorizontalDrawingGridEvery w:val="2"/>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294"/>
    <w:rsid w:val="00070EA9"/>
    <w:rsid w:val="00105B7D"/>
    <w:rsid w:val="001C5A4E"/>
    <w:rsid w:val="00201DB6"/>
    <w:rsid w:val="00247603"/>
    <w:rsid w:val="002B2E14"/>
    <w:rsid w:val="00313DE8"/>
    <w:rsid w:val="0036512B"/>
    <w:rsid w:val="005B5A3D"/>
    <w:rsid w:val="006121F4"/>
    <w:rsid w:val="00831535"/>
    <w:rsid w:val="008655A6"/>
    <w:rsid w:val="009D7F2C"/>
    <w:rsid w:val="00D126EF"/>
    <w:rsid w:val="00D24E8D"/>
    <w:rsid w:val="00D933AF"/>
    <w:rsid w:val="00DB328F"/>
    <w:rsid w:val="00DC7E22"/>
    <w:rsid w:val="00EF144C"/>
    <w:rsid w:val="00F55294"/>
    <w:rsid w:val="00F704C8"/>
    <w:rsid w:val="040B2F41"/>
    <w:rsid w:val="09F9316B"/>
    <w:rsid w:val="0DBB3B97"/>
    <w:rsid w:val="138F3C22"/>
    <w:rsid w:val="13AB3552"/>
    <w:rsid w:val="13D16D6F"/>
    <w:rsid w:val="15346C0F"/>
    <w:rsid w:val="16DE7B91"/>
    <w:rsid w:val="17E47B05"/>
    <w:rsid w:val="193E3E78"/>
    <w:rsid w:val="19B47997"/>
    <w:rsid w:val="1A0D57CA"/>
    <w:rsid w:val="1A4768A9"/>
    <w:rsid w:val="1D181F4A"/>
    <w:rsid w:val="1D3B1205"/>
    <w:rsid w:val="24462612"/>
    <w:rsid w:val="24CF4AF4"/>
    <w:rsid w:val="258516C9"/>
    <w:rsid w:val="25A40F22"/>
    <w:rsid w:val="2F7A2D00"/>
    <w:rsid w:val="352765C3"/>
    <w:rsid w:val="352D5C47"/>
    <w:rsid w:val="39592D95"/>
    <w:rsid w:val="3D320BF7"/>
    <w:rsid w:val="42C30598"/>
    <w:rsid w:val="484A762B"/>
    <w:rsid w:val="48E2099B"/>
    <w:rsid w:val="4F14474A"/>
    <w:rsid w:val="54E52957"/>
    <w:rsid w:val="578F28B6"/>
    <w:rsid w:val="57CD27BD"/>
    <w:rsid w:val="58D85584"/>
    <w:rsid w:val="5A341E0A"/>
    <w:rsid w:val="5BD836EB"/>
    <w:rsid w:val="5CB03E0D"/>
    <w:rsid w:val="5E6315EA"/>
    <w:rsid w:val="5F8030B6"/>
    <w:rsid w:val="60135966"/>
    <w:rsid w:val="62A86D6B"/>
    <w:rsid w:val="63A25830"/>
    <w:rsid w:val="6E6F683C"/>
    <w:rsid w:val="70DA7947"/>
    <w:rsid w:val="71C852BA"/>
    <w:rsid w:val="77A437A2"/>
    <w:rsid w:val="7AA716F4"/>
    <w:rsid w:val="7CD014D5"/>
    <w:rsid w:val="7D3511F9"/>
    <w:rsid w:val="7E271A8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32" w:firstLineChars="200"/>
      <w:jc w:val="both"/>
    </w:pPr>
    <w:rPr>
      <w:rFonts w:ascii="Times New Roman" w:hAnsi="Times New Roman" w:eastAsia="仿宋" w:cs="Times New Roman"/>
      <w:kern w:val="2"/>
      <w:sz w:val="32"/>
      <w:szCs w:val="32"/>
      <w:lang w:val="en-US" w:eastAsia="zh-CN" w:bidi="ar-SA"/>
    </w:rPr>
  </w:style>
  <w:style w:type="paragraph" w:styleId="2">
    <w:name w:val="heading 1"/>
    <w:basedOn w:val="1"/>
    <w:next w:val="1"/>
    <w:link w:val="11"/>
    <w:qFormat/>
    <w:uiPriority w:val="99"/>
    <w:pPr>
      <w:spacing w:line="600" w:lineRule="exact"/>
      <w:ind w:firstLine="0" w:firstLineChars="0"/>
      <w:jc w:val="center"/>
      <w:outlineLvl w:val="0"/>
    </w:pPr>
    <w:rPr>
      <w:rFonts w:eastAsia="方正小标宋简体"/>
      <w:kern w:val="44"/>
      <w:sz w:val="44"/>
      <w:szCs w:val="44"/>
    </w:rPr>
  </w:style>
  <w:style w:type="paragraph" w:styleId="3">
    <w:name w:val="heading 2"/>
    <w:basedOn w:val="1"/>
    <w:next w:val="1"/>
    <w:link w:val="12"/>
    <w:qFormat/>
    <w:uiPriority w:val="99"/>
    <w:pPr>
      <w:outlineLvl w:val="1"/>
    </w:pPr>
    <w:rPr>
      <w:rFonts w:eastAsia="黑体"/>
    </w:rPr>
  </w:style>
  <w:style w:type="paragraph" w:styleId="4">
    <w:name w:val="heading 3"/>
    <w:basedOn w:val="1"/>
    <w:next w:val="1"/>
    <w:link w:val="13"/>
    <w:qFormat/>
    <w:uiPriority w:val="99"/>
    <w:pPr>
      <w:outlineLvl w:val="2"/>
    </w:pPr>
    <w:rPr>
      <w:rFonts w:eastAsia="楷体"/>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8"/>
    <w:semiHidden/>
    <w:uiPriority w:val="99"/>
    <w:rPr>
      <w:sz w:val="18"/>
      <w:szCs w:val="18"/>
    </w:rPr>
  </w:style>
  <w:style w:type="paragraph" w:styleId="6">
    <w:name w:val="footer"/>
    <w:basedOn w:val="1"/>
    <w:link w:val="14"/>
    <w:uiPriority w:val="99"/>
    <w:pPr>
      <w:tabs>
        <w:tab w:val="center" w:pos="4153"/>
        <w:tab w:val="right" w:pos="8306"/>
      </w:tabs>
      <w:snapToGrid w:val="0"/>
      <w:jc w:val="left"/>
    </w:pPr>
    <w:rPr>
      <w:sz w:val="18"/>
      <w:szCs w:val="18"/>
    </w:rPr>
  </w:style>
  <w:style w:type="paragraph" w:styleId="7">
    <w:name w:val="header"/>
    <w:basedOn w:val="1"/>
    <w:link w:val="15"/>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uiPriority w:val="99"/>
  </w:style>
  <w:style w:type="character" w:customStyle="1" w:styleId="11">
    <w:name w:val="Heading 1 Char"/>
    <w:basedOn w:val="9"/>
    <w:link w:val="2"/>
    <w:locked/>
    <w:uiPriority w:val="99"/>
    <w:rPr>
      <w:rFonts w:ascii="Times New Roman" w:hAnsi="Times New Roman" w:eastAsia="仿宋" w:cs="Times New Roman"/>
      <w:b/>
      <w:bCs/>
      <w:kern w:val="44"/>
      <w:sz w:val="44"/>
      <w:szCs w:val="44"/>
    </w:rPr>
  </w:style>
  <w:style w:type="character" w:customStyle="1" w:styleId="12">
    <w:name w:val="Heading 2 Char"/>
    <w:basedOn w:val="9"/>
    <w:link w:val="3"/>
    <w:semiHidden/>
    <w:locked/>
    <w:uiPriority w:val="99"/>
    <w:rPr>
      <w:rFonts w:ascii="Cambria" w:hAnsi="Cambria" w:eastAsia="宋体" w:cs="Cambria"/>
      <w:b/>
      <w:bCs/>
      <w:sz w:val="32"/>
      <w:szCs w:val="32"/>
    </w:rPr>
  </w:style>
  <w:style w:type="character" w:customStyle="1" w:styleId="13">
    <w:name w:val="Heading 3 Char"/>
    <w:basedOn w:val="9"/>
    <w:link w:val="4"/>
    <w:semiHidden/>
    <w:locked/>
    <w:uiPriority w:val="99"/>
    <w:rPr>
      <w:rFonts w:ascii="Times New Roman" w:hAnsi="Times New Roman" w:eastAsia="仿宋" w:cs="Times New Roman"/>
      <w:b/>
      <w:bCs/>
      <w:sz w:val="32"/>
      <w:szCs w:val="32"/>
    </w:rPr>
  </w:style>
  <w:style w:type="character" w:customStyle="1" w:styleId="14">
    <w:name w:val="Footer Char"/>
    <w:basedOn w:val="9"/>
    <w:link w:val="6"/>
    <w:semiHidden/>
    <w:locked/>
    <w:uiPriority w:val="99"/>
    <w:rPr>
      <w:rFonts w:ascii="Times New Roman" w:hAnsi="Times New Roman" w:eastAsia="仿宋" w:cs="Times New Roman"/>
      <w:sz w:val="18"/>
      <w:szCs w:val="18"/>
    </w:rPr>
  </w:style>
  <w:style w:type="character" w:customStyle="1" w:styleId="15">
    <w:name w:val="Header Char"/>
    <w:basedOn w:val="9"/>
    <w:link w:val="7"/>
    <w:semiHidden/>
    <w:locked/>
    <w:uiPriority w:val="99"/>
    <w:rPr>
      <w:rFonts w:ascii="Times New Roman" w:hAnsi="Times New Roman" w:eastAsia="仿宋" w:cs="Times New Roman"/>
      <w:sz w:val="18"/>
      <w:szCs w:val="18"/>
    </w:rPr>
  </w:style>
  <w:style w:type="paragraph" w:customStyle="1" w:styleId="16">
    <w:name w:val="默认段落字体 Para Char Char Char Char"/>
    <w:basedOn w:val="1"/>
    <w:uiPriority w:val="99"/>
    <w:pPr>
      <w:ind w:firstLine="0" w:firstLineChars="0"/>
    </w:pPr>
    <w:rPr>
      <w:rFonts w:eastAsia="宋体"/>
      <w:sz w:val="21"/>
      <w:szCs w:val="21"/>
    </w:rPr>
  </w:style>
  <w:style w:type="paragraph" w:customStyle="1" w:styleId="17">
    <w:name w:val="署名"/>
    <w:basedOn w:val="1"/>
    <w:uiPriority w:val="99"/>
    <w:pPr>
      <w:jc w:val="center"/>
    </w:pPr>
    <w:rPr>
      <w:rFonts w:eastAsia="楷体"/>
    </w:rPr>
  </w:style>
  <w:style w:type="character" w:customStyle="1" w:styleId="18">
    <w:name w:val="Balloon Text Char"/>
    <w:basedOn w:val="9"/>
    <w:link w:val="5"/>
    <w:semiHidden/>
    <w:locked/>
    <w:uiPriority w:val="99"/>
    <w:rPr>
      <w:rFonts w:ascii="Times New Roman" w:hAnsi="Times New Roman" w:eastAsia="仿宋" w:cs="Times New Roman"/>
      <w:sz w:val="2"/>
      <w:szCs w:val="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淄博市党政机关使用软件正版化</Company>
  <Pages>8</Pages>
  <Words>3776</Words>
  <Characters>3799</Characters>
  <Lines>0</Lines>
  <Paragraphs>0</Paragraphs>
  <TotalTime>88</TotalTime>
  <ScaleCrop>false</ScaleCrop>
  <LinksUpToDate>false</LinksUpToDate>
  <CharactersWithSpaces>4021</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2021-10-09T03:25:00Z</dcterms:created>
  <dc:creator>Administrator</dc:creator>
  <cp:lastModifiedBy>张玥</cp:lastModifiedBy>
  <cp:lastPrinted>2023-03-22T00:27:00Z</cp:lastPrinted>
  <dcterms:modified xsi:type="dcterms:W3CDTF">2024-09-05T01:27:02Z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F5FA4995BCCB4CED996540422DB37233</vt:lpwstr>
  </property>
</Properties>
</file>