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3" w:name="_GoBack"/>
      <w:bookmarkEnd w:id="3"/>
    </w:p>
    <w:p>
      <w:pPr>
        <w:spacing w:line="574" w:lineRule="exact"/>
        <w:jc w:val="center"/>
        <w:rPr>
          <w:rFonts w:hint="default" w:ascii="Times New Roman" w:hAnsi="Times New Roman" w:eastAsia="华文中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  <w:lang w:val="en-US" w:eastAsia="zh-CN"/>
        </w:rPr>
        <w:t>淄</w:t>
      </w: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财建〔202</w:t>
      </w:r>
      <w:r>
        <w:rPr>
          <w:rFonts w:hint="default" w:ascii="Times New Roman" w:hAnsi="Times New Roman" w:eastAsia="仿宋" w:cs="Times New Roman"/>
          <w:color w:val="000000"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〕</w:t>
      </w:r>
      <w:r>
        <w:rPr>
          <w:rFonts w:hint="default" w:ascii="Times New Roman" w:hAnsi="Times New Roman" w:eastAsia="仿宋" w:cs="Times New Roman"/>
          <w:color w:val="000000"/>
          <w:sz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号</w:t>
      </w:r>
    </w:p>
    <w:p>
      <w:pPr>
        <w:spacing w:line="574" w:lineRule="exact"/>
        <w:jc w:val="both"/>
        <w:rPr>
          <w:rFonts w:hint="default" w:ascii="Times New Roman" w:hAnsi="Times New Roman" w:eastAsia="华文中宋" w:cs="Times New Roman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76200</wp:posOffset>
                </wp:positionV>
                <wp:extent cx="5661660" cy="24765"/>
                <wp:effectExtent l="0" t="13970" r="15240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2476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05pt;margin-top:6pt;height:1.95pt;width:445.8pt;z-index:251661312;mso-width-relative:page;mso-height-relative:page;" filled="f" stroked="t" coordsize="21600,21600" o:gfxdata="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VvypdkAAAAIAQAADwAAAAAAAAABACAAAAAiAAAAZHJzL2Rv&#10;d25yZXYueG1sUEsBAhQAFAAAAAgAh07iQA2NVkgAAgAA8wMAAA4AAAAAAAAAAQAgAAAAKA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4" w:lineRule="exact"/>
        <w:jc w:val="center"/>
        <w:rPr>
          <w:rFonts w:hint="default" w:ascii="Times New Roman" w:hAnsi="Times New Roman" w:eastAsia="华文中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淄博市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粮食政策性补贴资金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暂行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管理办法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》的通知</w:t>
      </w:r>
    </w:p>
    <w:p>
      <w:pPr>
        <w:spacing w:line="574" w:lineRule="exact"/>
        <w:jc w:val="center"/>
        <w:rPr>
          <w:rFonts w:hint="default" w:ascii="Times New Roman" w:hAnsi="Times New Roman" w:eastAsia="华文中宋" w:cs="Times New Roman"/>
          <w:sz w:val="44"/>
          <w:szCs w:val="44"/>
          <w:highlight w:val="none"/>
        </w:rPr>
      </w:pPr>
    </w:p>
    <w:p>
      <w:pPr>
        <w:spacing w:line="574" w:lineRule="exact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各区县财政局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发改局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，高新区、经济开发区、文昌湖区财政局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发改局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：</w:t>
      </w:r>
    </w:p>
    <w:p>
      <w:pPr>
        <w:spacing w:line="574" w:lineRule="exact"/>
        <w:ind w:firstLine="63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现将《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淄博市市级粮食政策性补贴资金暂行管理办法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》，印发给你们，请遵照执行。</w:t>
      </w:r>
    </w:p>
    <w:p>
      <w:pPr>
        <w:spacing w:line="574" w:lineRule="exact"/>
        <w:ind w:firstLine="63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574" w:lineRule="exact"/>
        <w:ind w:firstLine="425" w:firstLineChars="133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淄博市财政局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   淄博市发展和改革委员会  </w:t>
      </w:r>
    </w:p>
    <w:p>
      <w:pPr>
        <w:spacing w:line="574" w:lineRule="exact"/>
        <w:ind w:firstLine="4144" w:firstLineChars="1295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74" w:lineRule="exact"/>
        <w:ind w:firstLine="4144" w:firstLineChars="1295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74" w:lineRule="exact"/>
        <w:ind w:firstLine="5440" w:firstLineChars="17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淄博市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粮食政策性补贴资金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暂行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管理办法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总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为规范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淄博市市级粮食政策性补贴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资金管理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和使用，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提高资金使用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绩效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，根据《中华人民共和国预算法》《淄博市市级财政专项资金管理办法》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《淄博市人民政府关于贯彻落实鲁政发〔2019〕l号文件做好深化市级预算管理改革工作的意见》（淄政发〔2019〕6号）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有关规定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结合我市实际，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第二条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本办法所称专项资金是指市级财政预算安排用于支持落实市级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粮食政策性补贴等方面的专项资金（以下简称“专项资金”）。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第三条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专项资金由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财政、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发展改革部门按照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职责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分工进行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市财政局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负责组织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专项资金预算编制，对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专项资金的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支出政策进行审核，牵头预算绩效管理，下达拨付资金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、对资金使用情况进行监督管理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市发展改革委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负责专项资金预算编制和具体执行，研究制定专项资金分配方案、任务清单、项目实施方案等，具体实施预算绩效管理，对支出进度、使用绩效以及专项资金安全性、规范性负责。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专项资金的安排使用严格执行国家有关法律、法规和财务制度，遵循“统筹规划、择优扶强、突出重点、加强引导、注重实效、公平透明”的原则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确保财政资金的规范使用、高效引导。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"/>
        </w:rPr>
        <w:t>专项资金需按预算一体化要求规范管理。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第二章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预算编制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市发展改革委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照市级预算编制有关要求，研究提出专项资金中期财政规划和年度预算安排建议，向市财政局提报预算申请，及时将相关信息纳入市级预算管理系统，做实做细项目库。预算编制中，对市委市政府确定的重大改革、重要政策和重点项目支出要应编尽编，不得出现遗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，不得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存在政策过时和违规配套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市财政局按照预算编制要求和资金管理规定，对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提报的专项资金预算建议进行审核，综合考虑支出政策、资金需求、财力可能、上年绩效等因素，研究提出年度预算安排意见，按程序报市人大审议批准。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第六条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建立健全事前绩效评估机制。市发展改革委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申请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专项资金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新增重大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项目支出预算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，以及其它必要开展事前绩效评估的项目预算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，应进行事前绩效评估，出具评估报告。市财政局根据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市发展改革委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提报的预算申请、事前绩效评估报告等，对项目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进行审核，必要时可组织第三方机构独立开展绩效评估，并依据审核和评估结果安排预算。项目未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按要求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开展事前绩效评估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绩效评估结果差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，不得列入中期财政规划和年度预算。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第七条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按照“谁申请资金，谁编制目标”的原则，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市发展改革委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应当健全绩效目标内部编报机制，组织项目实施单位编制项目绩效目标，并作为申请预算的前置条件。市财政局和市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按照各自职责对绩效目标进行审核。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第八条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市发展改革委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专项资金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实行任务清单管理模式，明确每项任务的具体支出事项、资金规模、绩效目标等内容。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trike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第九条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专项资金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用于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地方储备粮油利息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费用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补贴等粮食方面的支出。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第三章 预算执行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市发展改革委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根据专项资金年度预算规模和任务清单，研究制定资金分配方案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应当明确到具体项目。其中，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资金按照预算管理有关规定批复下达。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第十一条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市财政局根据专项资金管理办法对资金分配意见进行合规性审核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，在法定时限内按照程序下达预算指标分配文件。审核重点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任务清单是否完整，项目确定和资金分配的范围、依据是否符合规定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是否履行“三重一大”决策程序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第十二条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专项资金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采取“预拨+清算”模式，根据储备粮油规模和资金申请，每季度首月15日前拨付本季度利息和保管费用；根据发展改革部门提报的储备粮油轮换计划和资金拨付申请，预拨80%轮换费用，轮换结束后拨付剩余费用。所有费用年底进行清算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第十三条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资金支付按照财政国库集中支付有关规定执行。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第十四条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资金使用单位对专项资金要进行分账管理、独立核算。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trike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第十五条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资金原则上应于当年形成支出。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结转结余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专项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资金按照财政部门相关规定执行。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第四章 资金监督管理和绩效管理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第十六条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部门和项目实施单位要加快预算执行进度，严格按照资金管理以及财务管理有关规定使用资金，确保专款专用，不得挤占、挪用，不得任意改变资金用途和扩大使用范围，不得虚假列支，不得任意变更预算支出科目。年度执行中确需调整预算和绩效目标的，应当按照预算管理有关规定报批。财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部门要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建立健全预算执行动态监控机制，定期通报资金分配进度和本级预算支出进度。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bookmarkStart w:id="0" w:name="sub3748529_3_5"/>
      <w:bookmarkEnd w:id="0"/>
      <w:bookmarkStart w:id="1" w:name="3_5"/>
      <w:bookmarkEnd w:id="1"/>
      <w:bookmarkStart w:id="2" w:name="长沙市节能专项资金管理办法_第五章_监督管理与检查"/>
      <w:bookmarkEnd w:id="2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第十七条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部门是绩效运行监控的责任主体，应对绩效目标实现程度和预算执行进度实行“双监控”，对监控中发现与既定绩效目标发生偏离的，及时采取措施予以纠正，情况严重的，调整、暂缓或停止执行。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第十八条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年度预算执行完毕，市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对照事先确定的绩效目标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组织部门或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实施单位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自评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、市财政局根据管理需要对专项资金进行重点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绩效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评价。绩效评价结果作为以后年度资金安排和分配的重要依据。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896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第十九条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加大专项资金信息公开力度，除涉密信息外，市财政局按规定主要公开专项资金目录、资金管理制度和财政重点绩效评价结果，市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按规定主要公开专项资金任务清单和具体支出政策、资金分配因素和分配结果、相关绩效信息等。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第二十条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各级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发展改革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、财政部门要主动接受人大、纪检监察、审计等方面的监督。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专项资金申报、使用和管理过程中出现违法违纪违规行为，按照《中华人民共和国预算法》《财政违法行为处罚处分条例》等法律法规处理。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第二十一条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建立专项资金预算执行考核机制，对未在规定时限内完成预算执行的，市发展改革委应当书面说明原因，并制定相应措施。市财政局加强预算执行进度情况通报，对连续两年未按规定时限完成预算执行的，相应调减专项资金预算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第五章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第二十二条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本办法由市财政局、市发展改革委负责解释。有效期满或有关政策依据变化，市财政局、市发展改革委根据实施情况予以评估修订。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发展改革部门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要根据专项资金预算安排，结合业务工作特点，制定具体实施方案或工作指南，明确专项资金具体支出政策、项目申报、资金分配因素、资金审核拨付流程、绩效管理等要求，并抄送财政部门。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第二十三条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本办法自2022年4月17日起实施，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有效期至20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上级有新规定的，从其规定执行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政府信息公开选项：主动公开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280" w:firstLineChars="1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55879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79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4.7pt;height:0.25pt;width:437.7pt;z-index:251659264;mso-width-relative:page;mso-height-relative:page;" filled="f" stroked="t" coordsize="21600,21600" o:gfxdata="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hA10dMAAAAEAQAADwAAAAAAAAABACAAAAAiAAAAZHJzL2Rvd25y&#10;ZXYueG1sUEsBAhQAFAAAAAgAh07iQDZC6noDAgAA/wMAAA4AAAAAAAAAAQAgAAAAI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558101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01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7pt;height:0.5pt;width:439.45pt;z-index:251660288;mso-width-relative:page;mso-height-relative:page;" filled="f" stroked="t" coordsize="21600,21600" o:gfxdata="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1mYbrVAAAABgEAAA8AAAAAAAAAAQAgAAAAIgAAAGRycy9k&#10;b3ducmV2LnhtbFBLAQIUABQAAAAIAIdO4kAfZSxNBQIAAP8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淄博市财政局办公室   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172A27"/>
    <w:rsid w:val="033031DE"/>
    <w:rsid w:val="03CD7C2B"/>
    <w:rsid w:val="03D82D3F"/>
    <w:rsid w:val="071108E7"/>
    <w:rsid w:val="07612EFE"/>
    <w:rsid w:val="07881BCF"/>
    <w:rsid w:val="08614A27"/>
    <w:rsid w:val="086C4C1D"/>
    <w:rsid w:val="0ACE46E1"/>
    <w:rsid w:val="0B6772D2"/>
    <w:rsid w:val="0B79793B"/>
    <w:rsid w:val="0C417C38"/>
    <w:rsid w:val="0CAE34CB"/>
    <w:rsid w:val="0CAE75F6"/>
    <w:rsid w:val="0DB833D0"/>
    <w:rsid w:val="0DDE548E"/>
    <w:rsid w:val="0E7470CD"/>
    <w:rsid w:val="114B0C27"/>
    <w:rsid w:val="122A6712"/>
    <w:rsid w:val="128D4575"/>
    <w:rsid w:val="12DB242C"/>
    <w:rsid w:val="15413558"/>
    <w:rsid w:val="183449FC"/>
    <w:rsid w:val="185F53B0"/>
    <w:rsid w:val="18A96774"/>
    <w:rsid w:val="18FE34B5"/>
    <w:rsid w:val="1A1479CE"/>
    <w:rsid w:val="1A763A77"/>
    <w:rsid w:val="1ABC3A10"/>
    <w:rsid w:val="1AFD29BD"/>
    <w:rsid w:val="1B201E32"/>
    <w:rsid w:val="1C442A4F"/>
    <w:rsid w:val="1C56312C"/>
    <w:rsid w:val="1C94576B"/>
    <w:rsid w:val="1D4228AC"/>
    <w:rsid w:val="1D675621"/>
    <w:rsid w:val="1F071AB8"/>
    <w:rsid w:val="1FC24108"/>
    <w:rsid w:val="202C1F33"/>
    <w:rsid w:val="210411FF"/>
    <w:rsid w:val="21F50E17"/>
    <w:rsid w:val="22A257B6"/>
    <w:rsid w:val="232E01B5"/>
    <w:rsid w:val="235A53FF"/>
    <w:rsid w:val="24203E55"/>
    <w:rsid w:val="258D0259"/>
    <w:rsid w:val="26212CE6"/>
    <w:rsid w:val="26563B0E"/>
    <w:rsid w:val="27AC1031"/>
    <w:rsid w:val="292E542D"/>
    <w:rsid w:val="2ABD1B2B"/>
    <w:rsid w:val="2AEA53F1"/>
    <w:rsid w:val="2B377961"/>
    <w:rsid w:val="2C6C1F91"/>
    <w:rsid w:val="2D02786D"/>
    <w:rsid w:val="2D8943A8"/>
    <w:rsid w:val="2E5D3951"/>
    <w:rsid w:val="2F2A6AE7"/>
    <w:rsid w:val="3038576B"/>
    <w:rsid w:val="32653130"/>
    <w:rsid w:val="33C96302"/>
    <w:rsid w:val="342441BB"/>
    <w:rsid w:val="351A5AF3"/>
    <w:rsid w:val="381F3D4B"/>
    <w:rsid w:val="389931E1"/>
    <w:rsid w:val="38AB5766"/>
    <w:rsid w:val="395608E6"/>
    <w:rsid w:val="3A9216DA"/>
    <w:rsid w:val="3B773928"/>
    <w:rsid w:val="3B836630"/>
    <w:rsid w:val="3C7E7CC4"/>
    <w:rsid w:val="3D9540D7"/>
    <w:rsid w:val="3EF75953"/>
    <w:rsid w:val="3F397C11"/>
    <w:rsid w:val="3FFC0B88"/>
    <w:rsid w:val="40425F26"/>
    <w:rsid w:val="40496D8A"/>
    <w:rsid w:val="41894E28"/>
    <w:rsid w:val="41AA6BC6"/>
    <w:rsid w:val="41C62595"/>
    <w:rsid w:val="424A65DD"/>
    <w:rsid w:val="432F270A"/>
    <w:rsid w:val="434C5F76"/>
    <w:rsid w:val="43B20FF2"/>
    <w:rsid w:val="44131DFD"/>
    <w:rsid w:val="452D5681"/>
    <w:rsid w:val="457B5F2B"/>
    <w:rsid w:val="46651F63"/>
    <w:rsid w:val="47CE1EE9"/>
    <w:rsid w:val="47F2032B"/>
    <w:rsid w:val="48251485"/>
    <w:rsid w:val="48BB513E"/>
    <w:rsid w:val="48CE4558"/>
    <w:rsid w:val="495D15DF"/>
    <w:rsid w:val="4A137A52"/>
    <w:rsid w:val="4ADF73B6"/>
    <w:rsid w:val="4B777B34"/>
    <w:rsid w:val="4C3A3FA0"/>
    <w:rsid w:val="4D24536B"/>
    <w:rsid w:val="4E952F62"/>
    <w:rsid w:val="4F041EF8"/>
    <w:rsid w:val="4F2C6929"/>
    <w:rsid w:val="4F4D66E7"/>
    <w:rsid w:val="4F561BDA"/>
    <w:rsid w:val="5135714A"/>
    <w:rsid w:val="52357F3F"/>
    <w:rsid w:val="524A02C6"/>
    <w:rsid w:val="526F1E3C"/>
    <w:rsid w:val="52B17983"/>
    <w:rsid w:val="53127382"/>
    <w:rsid w:val="53643D39"/>
    <w:rsid w:val="54016978"/>
    <w:rsid w:val="54E463DA"/>
    <w:rsid w:val="55232BDF"/>
    <w:rsid w:val="56105768"/>
    <w:rsid w:val="572D7B8D"/>
    <w:rsid w:val="57980CA8"/>
    <w:rsid w:val="57C50D2B"/>
    <w:rsid w:val="585103B8"/>
    <w:rsid w:val="59FE2AAF"/>
    <w:rsid w:val="5A2F36E5"/>
    <w:rsid w:val="5C7601B5"/>
    <w:rsid w:val="5CE36A7F"/>
    <w:rsid w:val="5CF5050F"/>
    <w:rsid w:val="5D7F0AC3"/>
    <w:rsid w:val="5E0E0E2A"/>
    <w:rsid w:val="5E865277"/>
    <w:rsid w:val="5F4640E0"/>
    <w:rsid w:val="63492ECB"/>
    <w:rsid w:val="64B85DD8"/>
    <w:rsid w:val="65547A0B"/>
    <w:rsid w:val="65697F06"/>
    <w:rsid w:val="6597799D"/>
    <w:rsid w:val="66C36583"/>
    <w:rsid w:val="66EF7874"/>
    <w:rsid w:val="67567621"/>
    <w:rsid w:val="685E1FD6"/>
    <w:rsid w:val="68FD659E"/>
    <w:rsid w:val="6909357F"/>
    <w:rsid w:val="6A5D318B"/>
    <w:rsid w:val="6BD81BB3"/>
    <w:rsid w:val="6C4C144B"/>
    <w:rsid w:val="6D8F3D2E"/>
    <w:rsid w:val="6F761AEC"/>
    <w:rsid w:val="6FDB6874"/>
    <w:rsid w:val="6FF60A52"/>
    <w:rsid w:val="70D33DA5"/>
    <w:rsid w:val="718D536A"/>
    <w:rsid w:val="719B24F9"/>
    <w:rsid w:val="71D1155F"/>
    <w:rsid w:val="73557DD6"/>
    <w:rsid w:val="748203E9"/>
    <w:rsid w:val="75100B8E"/>
    <w:rsid w:val="751E5DB9"/>
    <w:rsid w:val="757140B3"/>
    <w:rsid w:val="75CE1F10"/>
    <w:rsid w:val="76116A0C"/>
    <w:rsid w:val="764C268C"/>
    <w:rsid w:val="770E2207"/>
    <w:rsid w:val="77822F14"/>
    <w:rsid w:val="794A23FA"/>
    <w:rsid w:val="79903F4C"/>
    <w:rsid w:val="79986DFD"/>
    <w:rsid w:val="7AB550C7"/>
    <w:rsid w:val="7AD72F82"/>
    <w:rsid w:val="7AE406BF"/>
    <w:rsid w:val="7B091495"/>
    <w:rsid w:val="7D582D3D"/>
    <w:rsid w:val="7DE43326"/>
    <w:rsid w:val="7E041D4D"/>
    <w:rsid w:val="7E091659"/>
    <w:rsid w:val="7E734CE3"/>
    <w:rsid w:val="7FB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2599</Words>
  <Characters>2623</Characters>
  <Lines>0</Lines>
  <Paragraphs>0</Paragraphs>
  <TotalTime>35</TotalTime>
  <ScaleCrop>false</ScaleCrop>
  <LinksUpToDate>false</LinksUpToDate>
  <CharactersWithSpaces>2734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11</dc:creator>
  <cp:lastModifiedBy>周小花</cp:lastModifiedBy>
  <cp:lastPrinted>2022-04-14T05:46:00Z</cp:lastPrinted>
  <dcterms:modified xsi:type="dcterms:W3CDTF">2022-05-07T02:16:36Z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71F61DCF5ACB4773A35E6E272D8EA2B8</vt:lpwstr>
  </property>
</Properties>
</file>