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ZBCR-202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-011000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tbl>
      <w:tblPr>
        <w:tblStyle w:val="8"/>
        <w:tblW w:w="9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1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6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4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w w:val="66"/>
                <w:sz w:val="112"/>
                <w:szCs w:val="11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pacing w:val="20"/>
                <w:w w:val="66"/>
                <w:sz w:val="112"/>
                <w:szCs w:val="112"/>
                <w:highlight w:val="none"/>
                <w:lang w:val="en-US" w:eastAsia="zh-CN"/>
              </w:rPr>
              <w:t>淄博市财政局</w:t>
            </w:r>
          </w:p>
        </w:tc>
        <w:tc>
          <w:tcPr>
            <w:tcW w:w="2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96"/>
                <w:szCs w:val="16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pacing w:val="20"/>
                <w:w w:val="66"/>
                <w:sz w:val="140"/>
                <w:szCs w:val="140"/>
                <w:highlight w:val="none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6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40" w:lineRule="exact"/>
              <w:jc w:val="distribute"/>
              <w:textAlignment w:val="auto"/>
              <w:rPr>
                <w:rFonts w:hint="default" w:ascii="Times New Roman" w:hAnsi="Times New Roman" w:cs="Times New Roman"/>
                <w:w w:val="66"/>
                <w:sz w:val="112"/>
                <w:szCs w:val="11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66"/>
                <w:sz w:val="112"/>
                <w:szCs w:val="112"/>
                <w:highlight w:val="none"/>
                <w:lang w:val="en-US" w:eastAsia="zh-CN"/>
              </w:rPr>
              <w:t>淄博市总工会</w:t>
            </w:r>
          </w:p>
        </w:tc>
        <w:tc>
          <w:tcPr>
            <w:tcW w:w="23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40" w:lineRule="exact"/>
              <w:textAlignment w:val="auto"/>
              <w:rPr>
                <w:rFonts w:hint="default" w:ascii="Times New Roman" w:hAnsi="Times New Roman" w:cs="Times New Roman"/>
                <w:sz w:val="96"/>
                <w:szCs w:val="16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374015</wp:posOffset>
                </wp:positionV>
                <wp:extent cx="5661660" cy="24765"/>
                <wp:effectExtent l="0" t="13970" r="15240" b="184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660" cy="2476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05pt;margin-top:29.45pt;height:1.95pt;width:445.8pt;z-index:251665408;mso-width-relative:page;mso-height-relative:page;" filled="f" stroked="t" coordsize="21600,21600" o:gfxdata="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Pm5ELaAAAACAEAAA8AAAAAAAAAAQAgAAAAIgAAAGRycy9k&#10;b3ducmV2LnhtbFBLAQIUABQAAAAIAIdO4kANjVZIAAIAAPMDAAAOAAAAAAAAAAEAIAAAACk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财建〔202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淄博市财政局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淄博市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关于印发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淄博市市级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困难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表彰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获得者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和职工帮扶资金管理办法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财政局、总工会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高新区、经济开发区、文昌湖区财政局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产业（行业、系统）工会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，山东铝业公司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淄博矿业集团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各直属工会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为规范和加强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级困难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和职工帮扶资金管理，我们研究制定了《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淄博市市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级困难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表彰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获得者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和职工帮扶资金管理办法》，现予印发，请遵照执行。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淄博市财政局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淄博市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总工会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淄博市市级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困难表彰奖励获得者和职工</w:t>
      </w:r>
    </w:p>
    <w:p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帮扶资金管理办法</w:t>
      </w:r>
    </w:p>
    <w:p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第一章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为规范和加强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级困难表彰奖励获得者和职工帮扶专项资金（以下简称“帮扶资金”）管理，根据《中华人民共和国预算法》《中华全国总工会办公厅关于印发〈中央财政专项帮扶资金使用管理办法〉的通知》（总工办发〔2020〕13号）等法律制度以及《中共山东省委办公厅 山东省人民政府办公厅关于印发〈山东省功勋荣誉表彰奖励获得者待遇实施细则（试行）〉〈山东省生活困难表彰奖励获得者帮扶实施细则（试行）〉的通知》（鲁办发〔2018〕63 号）等规定，制定本办法。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第二条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帮扶资金是由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级财政预算安排，专项用于工会开展困难表彰奖励获得者和职工帮扶、送温暖活动等方面的资金。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第三条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帮扶资金的使用，坚持规范高效、依档帮扶、实名制发放的原则。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第四条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帮扶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资金由财政部门和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工会机关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按照职责分工共同管理。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专项资金需按预算一体化要求规范管理。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帮扶资金的使用范围、方向及方式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帮扶资金使用范围包括: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市级困难表彰奖励获得者开展生活困难帮扶和特殊困难帮扶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；落实市属破产和特困企业市级以上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表彰奖励获得者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荣誉津贴和省部级劳模体检费用。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（二）对困难职工家庭开展生活救助、助学救助、医疗救助、法律援助、促进就业等帮扶活动。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（三）落实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受市级以上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表彰奖励获得者明确享受待遇人员有关政策。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（四）支持工会开展送温暖活动支出。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困难表彰奖励获得者和困难职工家庭（包括深度困难职工家庭、相对困难职工家庭、意外致困职工家庭）的认定和帮扶标准，由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总工会按照现行有关规定执行。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表彰奖励主管部门、工会组织根据表彰奖励获得者生活困难和特殊困难认定标准，建立帮扶对象信息库，实行动态管理。市、县总工会依据困难职工家庭认定标准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结合当地经济社会发展水平和物价指数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根据困难职工家庭收入和刚性支出因素综合评估困难程度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按照深度困难职工、相对困难职工、意外致困职工等困难类别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建立梯度困难职工档案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根据其困难类别实施分层分类帮扶。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帮扶资金不得用于下列支出：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工会组织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工作人员工资或办公经费；发放各种奖金、津贴和福利补助；购买车辆、手机等交通工具及通讯设备；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工会组织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基本建设投资；其他不符合帮扶资金使用范围的支出。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帮扶资金实行实名制发放，严格审批流程。对困难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表彰奖励获得者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和困难职工的帮扶，全年每户单个帮扶类型补助额度超过2万元的，须经市总工会审批，超过5万元须报省总工会审批。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第三章 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预算编制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负责组织帮扶资金预算编制和批复，对支出政策进行审核，下达帮扶资金等，并牵头帮扶资金的预算绩效管理。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总工会负责帮扶资金预算编制和具体执行，研究制定帮扶资金分配使用方案和任务清单，科学合理确定绩效目标，对资金分配、支出进度、使用绩效以及资金安全性、规范性负责。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市与区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县工会组织具体负责制定帮扶工作实施方案，建立和管理生活困难表彰奖励获得者和职工档案等，按时上报帮扶资金使用及绩效目标完成情况，并对资金使用的真实性、合规性和有效性负责。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总工会根据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级预算编制要求，按照实际工作需要，研究提出帮扶资金年度预算需求和中期财政规划，制定资金绩效目标和年度任务清单，向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市财政局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提报预算申请。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市财政局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按照预算编制要求和资金管理规定，对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总工会提报的帮扶资金预算进行审核，综合考虑支出政策、资金需求、财力保障、上年绩效等因素，研究提出年度预算安排建议，按程序报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人大审议批准后，确定年度帮扶资金规模。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总工会根据帮扶资金年度预算规模和任务清单，研究制定年度资金分配方案，经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总工会党组会议集体研究后，在规定时间内以正式文件报送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市财政局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对资金分配意见进行合规性审核，审核无误后，按程序下达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本级支出的资金应明确到具体项目，纳入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总工会年度预算，按照预算管理有关规定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管理使用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；对下转移支付资金主要采取因素法分配，综合参考帮扶对象数量、生活困难程度、工作开展情况等确定资金分配方案，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在法定期限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内批复下达。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总工会要全面实施预算项目全周期管理，全部预算支出均以预算项目的形式纳入项目库，动态化管理困难表彰奖励获得者和职工档案。建立健全资金支出标准体系，严格落实资金支出标准，强化标准对预算的约束作用。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第四章 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预算执行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帮扶资金的支付按照国库集中支付有关规定执行。属于政府采购范围或列入政府购买服务目录内的项目，应当严格按照相关规定，完整、准确、全面编制政府采购预算或政府购买服务预算。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总工会要加强预算执行管理，切实提高资金使用效益。帮扶资金原则上应于当年完成支出，结转结余资金管理按照有关规定执行。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第五章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总工会是帮扶资金预算绩效管理的责任主体，应对绩效目标完成情况和预算执行进度实行“双监控”，定期采集项目绩效信息，动态掌握项目进展和绩效目标完成情况。发现资金违规使用、项目实施方案变更等重大问题，要及时采取措施予以纠正，对问题严重或整改不到位的暂缓或停止预算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年度预算执行完毕，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总工会组织开展绩效自评，撰写资金绩效自评报告报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市财政局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，并对绩效自评结果的真实性负责。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市财政局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视情况进行抽查复核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重点评价，绩效评价结果作为以后年度预算安排的重要依据。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第六章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总工会应履行主体责任，严格按照本办法及有关财政财务管理规定合理安排使用资金，确保专款专用，不得挤占、挪用或虚列支出。年度执行中确需调整预算和绩效目标的，应按照预算管理有关规定履行报批程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负责公开帮扶资金管理制度和财政重点绩效评价结果，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总工会负责公开帮扶资金任务清单和具体支出政策、项目申报指南、资金分配因素和分配结果、绩效信息等。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总工会、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要主动接受人大、纪检监察、审计等方面的监督。对在审计和监督检查中发现的违法违规违纪问题，按照《中华人民共和国预算法》《中华人民共和国公务员法》《中华人民共和国监察法》《财政违法行为处罚处分条例》（国务院令第 427 号）等国家有关法律法规进行处理；涉嫌犯罪的，移送司法机关处理。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第七章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第二十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本办法自 202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日起施行,有效期至202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日。《淄博市市级生活困难劳模帮扶专项资金管理办法》（淄财行〔2015〕27 号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同时废止。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政府信息公开选项：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558790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879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4.7pt;height:0.25pt;width:437.7pt;z-index:251666432;mso-width-relative:page;mso-height-relative:page;" filled="f" stroked="t" coordsize="21600,21600" o:gfxdata="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hA10dMAAAAEAQAADwAAAAAAAAABACAAAAAiAAAAZHJzL2Rvd25y&#10;ZXYueG1sUEsBAhQAFAAAAAgAh07iQDZC6noDAgAA/wMAAA4AAAAAAAAAAQAgAAAAI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558101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01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0.7pt;height:0.5pt;width:439.45pt;z-index:251667456;mso-width-relative:page;mso-height-relative:page;" filled="f" stroked="t" coordsize="21600,21600" o:gfxdata="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1mYbrVAAAABgEAAA8AAAAAAAAAAQAgAAAAIgAAAGRycy9k&#10;b3ducmV2LnhtbFBLAQIUABQAAAAIAIdO4kAfZSxNBQIAAP8DAAAOAAAAAAAAAAEAIAAAACQ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淄博市财政局办公室       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pgSz w:w="11906" w:h="16838"/>
      <w:pgMar w:top="2098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U87wl9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hseLK7znMWh6t4zEBW&#10;pfzPX/0C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TzvCX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default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A499F"/>
    <w:rsid w:val="03895D63"/>
    <w:rsid w:val="0C236180"/>
    <w:rsid w:val="0CEA5FA2"/>
    <w:rsid w:val="1113695D"/>
    <w:rsid w:val="133E6322"/>
    <w:rsid w:val="13DE1C50"/>
    <w:rsid w:val="141B65B2"/>
    <w:rsid w:val="147630B0"/>
    <w:rsid w:val="182127E5"/>
    <w:rsid w:val="21345543"/>
    <w:rsid w:val="227C278F"/>
    <w:rsid w:val="2B000207"/>
    <w:rsid w:val="2D0356C8"/>
    <w:rsid w:val="2E70095C"/>
    <w:rsid w:val="309B4F80"/>
    <w:rsid w:val="326F6626"/>
    <w:rsid w:val="32DA499F"/>
    <w:rsid w:val="3829481E"/>
    <w:rsid w:val="3CC33945"/>
    <w:rsid w:val="3D294246"/>
    <w:rsid w:val="3F9C7A5D"/>
    <w:rsid w:val="4072651E"/>
    <w:rsid w:val="41A8746F"/>
    <w:rsid w:val="464F5F4D"/>
    <w:rsid w:val="468D6F7B"/>
    <w:rsid w:val="482853FC"/>
    <w:rsid w:val="48636637"/>
    <w:rsid w:val="48AD21E9"/>
    <w:rsid w:val="4B6C6604"/>
    <w:rsid w:val="4C0A12D4"/>
    <w:rsid w:val="56001744"/>
    <w:rsid w:val="59C65066"/>
    <w:rsid w:val="6C3B0A8F"/>
    <w:rsid w:val="6C3E246A"/>
    <w:rsid w:val="6C5065E6"/>
    <w:rsid w:val="6F9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2022-02-21T23:57:00Z</dcterms:created>
  <dc:creator>张玉刚</dc:creator>
  <cp:lastModifiedBy>傅静静</cp:lastModifiedBy>
  <cp:lastPrinted>2022-05-25T08:17:00Z</cp:lastPrinted>
  <dcterms:modified xsi:type="dcterms:W3CDTF">2022-06-30T06:46:02Z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