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color w:val="auto"/>
          <w:sz w:val="32"/>
        </w:rPr>
      </w:pPr>
    </w:p>
    <w:p>
      <w:pPr>
        <w:overflowPunct w:val="0"/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淄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财工〔</w:t>
      </w:r>
      <w:r>
        <w:rPr>
          <w:rFonts w:ascii="Times New Roman" w:hAnsi="Times New Roman" w:eastAsia="仿宋_GB2312" w:cs="Times New Roman"/>
          <w:color w:val="auto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</w:rPr>
        <w:t>号</w:t>
      </w:r>
    </w:p>
    <w:p>
      <w:pPr>
        <w:overflowPunct w:val="0"/>
        <w:spacing w:line="580" w:lineRule="exact"/>
        <w:jc w:val="center"/>
        <w:rPr>
          <w:rFonts w:ascii="宋体" w:hAnsi="宋体" w:eastAsia="仿宋_GB2312"/>
          <w:color w:val="auto"/>
          <w:sz w:val="20"/>
        </w:rPr>
      </w:pPr>
    </w:p>
    <w:p>
      <w:pPr>
        <w:overflowPunct w:val="0"/>
        <w:spacing w:line="580" w:lineRule="exact"/>
        <w:jc w:val="center"/>
        <w:rPr>
          <w:rFonts w:hint="eastAsia" w:ascii="方正小标宋简体" w:eastAsia="方正小标宋简体"/>
          <w:bCs/>
          <w:color w:val="auto"/>
          <w:sz w:val="44"/>
        </w:rPr>
      </w:pPr>
    </w:p>
    <w:p>
      <w:pPr>
        <w:overflowPunct w:val="0"/>
        <w:spacing w:line="580" w:lineRule="exact"/>
        <w:jc w:val="center"/>
        <w:rPr>
          <w:rFonts w:hint="eastAsia" w:ascii="方正小标宋简体" w:eastAsia="方正小标宋简体"/>
          <w:bCs/>
          <w:color w:val="auto"/>
          <w:spacing w:val="11"/>
          <w:sz w:val="44"/>
        </w:rPr>
      </w:pPr>
      <w:r>
        <w:rPr>
          <w:rFonts w:hint="eastAsia" w:ascii="方正小标宋简体" w:eastAsia="方正小标宋简体"/>
          <w:bCs/>
          <w:color w:val="auto"/>
          <w:spacing w:val="11"/>
          <w:sz w:val="44"/>
          <w:lang w:eastAsia="zh-CN"/>
        </w:rPr>
        <w:t>淄博市财政局</w:t>
      </w:r>
      <w:r>
        <w:rPr>
          <w:rFonts w:hint="eastAsia" w:ascii="方正小标宋简体" w:eastAsia="方正小标宋简体"/>
          <w:bCs/>
          <w:color w:val="auto"/>
          <w:spacing w:val="11"/>
          <w:sz w:val="44"/>
          <w:lang w:val="en-US" w:eastAsia="zh-CN"/>
        </w:rPr>
        <w:t>等4部门</w:t>
      </w:r>
    </w:p>
    <w:p>
      <w:pPr>
        <w:overflowPunct w:val="0"/>
        <w:spacing w:line="580" w:lineRule="exact"/>
        <w:jc w:val="center"/>
        <w:rPr>
          <w:rFonts w:hint="eastAsia" w:ascii="方正小标宋简体" w:eastAsia="方正小标宋简体"/>
          <w:bCs/>
          <w:color w:val="auto"/>
          <w:spacing w:val="11"/>
          <w:sz w:val="44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pacing w:val="11"/>
          <w:sz w:val="44"/>
        </w:rPr>
        <w:t>关于印发</w:t>
      </w:r>
      <w:r>
        <w:rPr>
          <w:rFonts w:hint="eastAsia" w:ascii="方正小标宋简体" w:eastAsia="方正小标宋简体"/>
          <w:bCs/>
          <w:color w:val="auto"/>
          <w:spacing w:val="11"/>
          <w:sz w:val="44"/>
          <w:lang w:eastAsia="zh-CN"/>
        </w:rPr>
        <w:t>淄博市市级</w:t>
      </w:r>
      <w:r>
        <w:rPr>
          <w:rFonts w:hint="eastAsia" w:ascii="方正小标宋简体" w:eastAsia="方正小标宋简体"/>
          <w:bCs/>
          <w:color w:val="auto"/>
          <w:spacing w:val="11"/>
          <w:sz w:val="44"/>
          <w:lang w:val="en-US" w:eastAsia="zh-CN"/>
        </w:rPr>
        <w:t>商贸发展和市场开拓及</w:t>
      </w:r>
    </w:p>
    <w:p>
      <w:pPr>
        <w:overflowPunct w:val="0"/>
        <w:spacing w:line="580" w:lineRule="exact"/>
        <w:jc w:val="center"/>
        <w:rPr>
          <w:rFonts w:hint="eastAsia" w:ascii="方正小标宋简体" w:eastAsia="方正小标宋简体"/>
          <w:bCs/>
          <w:color w:val="auto"/>
          <w:spacing w:val="11"/>
          <w:sz w:val="44"/>
        </w:rPr>
      </w:pPr>
      <w:r>
        <w:rPr>
          <w:rFonts w:hint="eastAsia" w:ascii="方正小标宋简体" w:eastAsia="方正小标宋简体"/>
          <w:bCs/>
          <w:color w:val="auto"/>
          <w:spacing w:val="11"/>
          <w:sz w:val="44"/>
          <w:lang w:val="en-US" w:eastAsia="zh-CN"/>
        </w:rPr>
        <w:t>招商引资资金管理暂行办法的通知</w:t>
      </w:r>
    </w:p>
    <w:p>
      <w:pPr>
        <w:overflowPunct w:val="0"/>
        <w:spacing w:line="580" w:lineRule="exact"/>
        <w:jc w:val="center"/>
        <w:rPr>
          <w:rFonts w:hint="eastAsia" w:ascii="宋体" w:hAnsi="宋体"/>
          <w:color w:val="auto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各区县财政局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高新区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财政金融局，经济开发</w:t>
      </w:r>
      <w:r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文昌湖区财政局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，各区县</w:t>
      </w:r>
      <w:r>
        <w:rPr>
          <w:rFonts w:hint="eastAsia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商务局、投资促进局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：</w:t>
      </w:r>
    </w:p>
    <w:p>
      <w:pPr>
        <w:overflowPunct w:val="0"/>
        <w:spacing w:line="580" w:lineRule="exact"/>
        <w:rPr>
          <w:rFonts w:ascii="仿宋_GB2312" w:hAnsi="宋体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为规范专项资金管理，提高资金使用效益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，我们研究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修订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了</w:t>
      </w:r>
      <w:r>
        <w:rPr>
          <w:rFonts w:hint="eastAsia"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淄博市市级</w:t>
      </w:r>
      <w:r>
        <w:rPr>
          <w:rFonts w:hint="eastAsia" w:ascii="仿宋_GB2312" w:hAnsi="宋体" w:eastAsia="仿宋_GB2312"/>
          <w:color w:val="auto"/>
          <w:sz w:val="32"/>
        </w:rPr>
        <w:t>市场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商贸发展和市场开拓及招商引资</w:t>
      </w:r>
      <w:r>
        <w:rPr>
          <w:rFonts w:hint="eastAsia" w:ascii="仿宋_GB2312" w:hAnsi="宋体" w:eastAsia="仿宋_GB2312"/>
          <w:color w:val="auto"/>
          <w:sz w:val="32"/>
        </w:rPr>
        <w:t>资金管理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暂行</w:t>
      </w:r>
      <w:r>
        <w:rPr>
          <w:rFonts w:hint="eastAsia" w:ascii="仿宋_GB2312" w:hAnsi="宋体" w:eastAsia="仿宋_GB2312"/>
          <w:color w:val="auto"/>
          <w:sz w:val="32"/>
        </w:rPr>
        <w:t>办法》，现予印发，请遵照执行。</w:t>
      </w:r>
    </w:p>
    <w:p>
      <w:pPr>
        <w:overflowPunct w:val="0"/>
        <w:spacing w:line="580" w:lineRule="exact"/>
        <w:rPr>
          <w:rFonts w:hint="eastAsia" w:ascii="仿宋_GB2312" w:eastAsia="仿宋_GB2312"/>
          <w:color w:val="auto"/>
          <w:sz w:val="32"/>
        </w:rPr>
      </w:pPr>
    </w:p>
    <w:p>
      <w:pPr>
        <w:overflowPunct w:val="0"/>
        <w:spacing w:line="580" w:lineRule="exact"/>
        <w:rPr>
          <w:rFonts w:hint="eastAsia" w:ascii="仿宋_GB2312" w:eastAsia="仿宋_GB2312"/>
          <w:color w:val="auto"/>
          <w:sz w:val="32"/>
          <w:lang w:eastAsia="zh-CN"/>
        </w:rPr>
      </w:pPr>
    </w:p>
    <w:p>
      <w:pPr>
        <w:overflowPunct w:val="0"/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淄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博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财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政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局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lang w:eastAsia="zh-CN"/>
        </w:rPr>
        <w:t>淄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博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商 务 </w:t>
      </w:r>
      <w:r>
        <w:rPr>
          <w:rFonts w:hint="eastAsia" w:ascii="仿宋_GB2312" w:eastAsia="仿宋_GB2312"/>
          <w:color w:val="auto"/>
          <w:sz w:val="32"/>
        </w:rPr>
        <w:t xml:space="preserve">局 </w:t>
      </w:r>
    </w:p>
    <w:p>
      <w:pPr>
        <w:overflowPunct w:val="0"/>
        <w:spacing w:line="580" w:lineRule="exact"/>
        <w:ind w:firstLine="960" w:firstLineChars="300"/>
        <w:rPr>
          <w:rFonts w:hint="eastAsia" w:ascii="仿宋_GB2312" w:eastAsia="仿宋_GB2312"/>
          <w:color w:val="auto"/>
          <w:sz w:val="32"/>
        </w:rPr>
      </w:pPr>
    </w:p>
    <w:p>
      <w:pPr>
        <w:overflowPunct w:val="0"/>
        <w:spacing w:line="580" w:lineRule="exact"/>
        <w:ind w:firstLine="960" w:firstLineChars="300"/>
        <w:rPr>
          <w:rFonts w:hint="eastAsia" w:ascii="仿宋_GB2312" w:eastAsia="仿宋_GB2312"/>
          <w:color w:val="auto"/>
          <w:sz w:val="32"/>
        </w:rPr>
      </w:pPr>
    </w:p>
    <w:p>
      <w:pPr>
        <w:overflowPunct w:val="0"/>
        <w:spacing w:line="580" w:lineRule="exact"/>
        <w:ind w:firstLine="640" w:firstLineChars="200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淄博市投资促进局          中国国际贸易促进委员会</w:t>
      </w:r>
    </w:p>
    <w:p>
      <w:pPr>
        <w:overflowPunct w:val="0"/>
        <w:spacing w:line="580" w:lineRule="exac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                               淄博市委员会</w:t>
      </w:r>
    </w:p>
    <w:p>
      <w:pPr>
        <w:wordWrap w:val="0"/>
        <w:overflowPunct w:val="0"/>
        <w:spacing w:line="580" w:lineRule="exact"/>
        <w:jc w:val="center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年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月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</w:t>
      </w:r>
    </w:p>
    <w:p>
      <w:pPr>
        <w:overflowPunct w:val="0"/>
        <w:adjustRightInd w:val="0"/>
        <w:snapToGrid w:val="0"/>
        <w:spacing w:line="580" w:lineRule="exact"/>
        <w:jc w:val="center"/>
        <w:outlineLvl w:val="0"/>
        <w:rPr>
          <w:rFonts w:hint="eastAsia" w:ascii="方正小标宋简体" w:hAnsi="黑体" w:eastAsia="方正小标宋简体"/>
          <w:bCs/>
          <w:color w:val="auto"/>
          <w:sz w:val="44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984" w:right="1418" w:bottom="1361" w:left="1474" w:header="851" w:footer="1361" w:gutter="0"/>
          <w:pgNumType w:fmt="decimal"/>
          <w:cols w:space="720" w:num="1"/>
          <w:docGrid w:linePitch="312" w:charSpace="0"/>
        </w:sectPr>
      </w:pPr>
    </w:p>
    <w:p>
      <w:pPr>
        <w:overflowPunct w:val="0"/>
        <w:adjustRightInd w:val="0"/>
        <w:snapToGrid w:val="0"/>
        <w:spacing w:line="580" w:lineRule="exact"/>
        <w:jc w:val="center"/>
        <w:outlineLvl w:val="0"/>
        <w:rPr>
          <w:rFonts w:hint="eastAsia" w:ascii="方正小标宋简体" w:hAnsi="黑体" w:eastAsia="方正小标宋简体"/>
          <w:bCs/>
          <w:color w:val="auto"/>
          <w:sz w:val="44"/>
          <w:szCs w:val="32"/>
          <w:lang w:eastAsia="zh-CN"/>
        </w:rPr>
      </w:pPr>
    </w:p>
    <w:p>
      <w:pPr>
        <w:overflowPunct w:val="0"/>
        <w:adjustRightInd w:val="0"/>
        <w:snapToGrid w:val="0"/>
        <w:spacing w:line="580" w:lineRule="exact"/>
        <w:jc w:val="center"/>
        <w:outlineLvl w:val="0"/>
        <w:rPr>
          <w:rFonts w:hint="eastAsia" w:ascii="方正小标宋简体" w:hAnsi="黑体" w:eastAsia="方正小标宋简体"/>
          <w:bCs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32"/>
          <w:lang w:eastAsia="zh-CN"/>
        </w:rPr>
        <w:t>淄博市市级</w:t>
      </w:r>
      <w:r>
        <w:rPr>
          <w:rFonts w:hint="eastAsia" w:ascii="方正小标宋简体" w:hAnsi="黑体" w:eastAsia="方正小标宋简体"/>
          <w:bCs/>
          <w:color w:val="auto"/>
          <w:sz w:val="44"/>
          <w:szCs w:val="32"/>
          <w:lang w:val="en-US" w:eastAsia="zh-CN"/>
        </w:rPr>
        <w:t>商贸发展和市场开拓及</w:t>
      </w:r>
    </w:p>
    <w:p>
      <w:pPr>
        <w:overflowPunct w:val="0"/>
        <w:adjustRightInd w:val="0"/>
        <w:snapToGrid w:val="0"/>
        <w:spacing w:line="580" w:lineRule="exact"/>
        <w:jc w:val="center"/>
        <w:outlineLvl w:val="0"/>
        <w:rPr>
          <w:rFonts w:ascii="方正小标宋简体" w:hAnsi="黑体" w:eastAsia="方正小标宋简体"/>
          <w:bCs/>
          <w:color w:val="auto"/>
          <w:sz w:val="44"/>
          <w:szCs w:val="32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32"/>
          <w:lang w:val="en-US" w:eastAsia="zh-CN"/>
        </w:rPr>
        <w:t>招商引资</w:t>
      </w:r>
      <w:r>
        <w:rPr>
          <w:rFonts w:hint="eastAsia" w:ascii="方正小标宋简体" w:hAnsi="黑体" w:eastAsia="方正小标宋简体"/>
          <w:bCs/>
          <w:color w:val="auto"/>
          <w:sz w:val="44"/>
          <w:szCs w:val="32"/>
        </w:rPr>
        <w:t>资金管理</w:t>
      </w:r>
      <w:r>
        <w:rPr>
          <w:rFonts w:hint="eastAsia" w:ascii="方正小标宋简体" w:hAnsi="黑体" w:eastAsia="方正小标宋简体"/>
          <w:bCs/>
          <w:color w:val="auto"/>
          <w:sz w:val="44"/>
          <w:szCs w:val="32"/>
          <w:lang w:val="en-US" w:eastAsia="zh-CN"/>
        </w:rPr>
        <w:t>暂行</w:t>
      </w:r>
      <w:r>
        <w:rPr>
          <w:rFonts w:hint="eastAsia" w:ascii="方正小标宋简体" w:hAnsi="黑体" w:eastAsia="方正小标宋简体"/>
          <w:bCs/>
          <w:color w:val="auto"/>
          <w:sz w:val="44"/>
          <w:szCs w:val="32"/>
        </w:rPr>
        <w:t>办法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第一章　总  则</w:t>
      </w:r>
    </w:p>
    <w:p>
      <w:pPr>
        <w:overflowPunct w:val="0"/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1" w:name="_GoBack"/>
      <w:bookmarkEnd w:id="11"/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第一条</w:t>
      </w:r>
      <w:r>
        <w:rPr>
          <w:rFonts w:hint="eastAsia" w:ascii="楷体_GB2312" w:hAnsi="黑体" w:eastAsia="楷体_GB2312" w:cs="仿宋_GB2312"/>
          <w:color w:val="auto"/>
          <w:sz w:val="32"/>
          <w:szCs w:val="32"/>
        </w:rPr>
        <w:t>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为规范和加强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淄博市市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级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商贸发展和市场开拓资金及招商引资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以下简称商贸发展资金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管理，提高资金使用效益，促进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商贸事业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高质量发展，根据《中华人民共和国预算法》《山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东省人民政府关于进一步深化预算管理制度改革的实施意见》（鲁政发〔2021〕19号）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《中共山东省委 山东省人民政府关于全面推进预算绩效管理的实施意见》（鲁发〔2019〕2 号）、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《关于贯彻落实省政府〈关于进一步深化预算管理制度改革的实施意见〉的工作方案》（淄财办发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《山东省财政厅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商务厅关于印发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省级商贸发展和市场开拓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资金管理办法的通知》（鲁财工〔202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号）等有关规定，结合我市实际，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本办法。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80"/>
        <w:jc w:val="both"/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第二条　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本办法所称商贸发展资金是指市级财政预算安排，用于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提升商贸流通水平、优化对外贸易结构、深化对外投资合作、加大招商引资力度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等方面的资金。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第三条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资金的使用管理坚持</w:t>
      </w:r>
      <w:r>
        <w:rPr>
          <w:rFonts w:hint="eastAsia" w:ascii="仿宋_GB2312" w:hAnsi="仿宋" w:eastAsia="仿宋_GB2312" w:cs="文星简仿宋"/>
          <w:color w:val="auto"/>
          <w:sz w:val="32"/>
          <w:szCs w:val="32"/>
        </w:rPr>
        <w:t>“突出重点、择优扶持、公开透明、注重绩效”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的原则，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确保资金使用规范、安全和高效。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第四条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资金由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财政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商务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市投资促进局、中国国际贸易促进委员会淄博市委员会（以下简称“市业务主管部门”）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按照职责分工进行管理。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仿宋_GB2312" w:hAnsi="黑体" w:eastAsia="仿宋_GB2312" w:cs="Calibri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负责组织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资金预算编制，对支出政策进行审核，牵头预算绩效管理，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下达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拨付资金等。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楷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负责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资金预算编制和具体执行，</w:t>
      </w:r>
      <w:r>
        <w:rPr>
          <w:rFonts w:hint="eastAsia" w:ascii="仿宋_GB2312" w:hAnsi="楷体" w:eastAsia="仿宋_GB2312" w:cs="仿宋_GB2312"/>
          <w:color w:val="auto"/>
          <w:sz w:val="32"/>
          <w:szCs w:val="32"/>
        </w:rPr>
        <w:t>研究制定资金分配使用方案和任务清单，对支出进度、使用绩效以及专项资金安全性、规范性负责。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楷体" w:eastAsia="仿宋_GB2312" w:cs="Calibri"/>
          <w:color w:val="auto"/>
          <w:sz w:val="32"/>
          <w:szCs w:val="32"/>
        </w:rPr>
      </w:pPr>
      <w:r>
        <w:rPr>
          <w:rFonts w:hint="eastAsia" w:ascii="仿宋_GB2312" w:hAnsi="楷体" w:eastAsia="仿宋_GB2312" w:cs="Calibri"/>
          <w:color w:val="auto"/>
          <w:sz w:val="32"/>
          <w:szCs w:val="32"/>
          <w:lang w:val="en-US" w:eastAsia="zh-CN"/>
        </w:rPr>
        <w:t>各区（县）财政部门和业务主管部门要加强协调配合，及时、足额拨付下达的商贸发展资金，</w:t>
      </w:r>
      <w:r>
        <w:rPr>
          <w:rFonts w:hint="eastAsia" w:ascii="仿宋_GB2312" w:hAnsi="楷体" w:eastAsia="仿宋_GB2312" w:cs="Calibri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楷体" w:eastAsia="仿宋_GB2312" w:cs="Calibri"/>
          <w:color w:val="auto"/>
          <w:sz w:val="32"/>
          <w:szCs w:val="32"/>
        </w:rPr>
        <w:t>资金使用情况进行动态管理和跟踪问效，确保资金专款专用，提高资金使用效益。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楷体" w:eastAsia="仿宋_GB2312" w:cs="Calibri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第二章　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预算编制</w:t>
      </w:r>
    </w:p>
    <w:p>
      <w:pPr>
        <w:overflowPunct w:val="0"/>
        <w:adjustRightInd w:val="0"/>
        <w:snapToGrid w:val="0"/>
        <w:spacing w:line="58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kern w:val="0"/>
          <w:sz w:val="32"/>
          <w:szCs w:val="32"/>
        </w:rPr>
        <w:t>第五条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主要采取贷款贴息、综合奖补等支持方式，聚焦商贸发展、招商引资重点领域和工作任务，主要支持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以下几个方面：　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楷体_GB2312" w:hAnsi="黑体" w:eastAsia="楷体_GB2312" w:cs="黑体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（一）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商贸流通提质增效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积极开展促消费、惠民生、树品牌活动，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支持扩大内需，激发消费潜力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numPr>
          <w:ilvl w:val="-1"/>
          <w:numId w:val="0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加强商贸流通体系建设，支持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公益性商贸设施建设, 促进物流标准化、流通领域现代供应链、重要产品追溯体系建设，提升流通效率，降低物流成本。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电子商务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高质量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发展，引进培育电商新业态新模式，发展新零售和新媒体电商，推动电商平台、电商园区等创新发展，提升我市网络品牌知名度和影响力，拉动新消费。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其他有利于促进我市商贸流通发展的事项。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外贸稳增长调结构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支持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国家部委和省、市组织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的重大境内外经贸合作洽谈会、展览会等招商招展和贸易促进活动。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bookmark10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培育发展外贸新业态新模式，推动外贸转型升级，促进加工贸易和服务贸易加快发展，引导企业利用好出口信用保险政策工具，鼓励开拓多元化国际市场，支持企业开展国际贸易摩擦应对活动。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" w:name="bookmark11"/>
      <w:bookmarkEnd w:id="1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鼓励扩大先进设备和技术、关键零部件、国内紧缺的资源性产品、促进消费升级的民生产品进口。支持企业利用好中国国际进口博览会等各类进口渠道和平台。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bookmarkStart w:id="2" w:name="bookmark12"/>
      <w:bookmarkEnd w:id="2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其他有利于促进我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市外贸发展的事项。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楷体_GB2312" w:hAnsi="黑体" w:eastAsia="楷体_GB2312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）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推进高质量招商引资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省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十强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产业、市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四强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产业和特色优势产业，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引进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重大产业内资项目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外资项目。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3" w:name="bookmark15"/>
      <w:bookmarkEnd w:id="3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支持搭建高层次招商引资平台，开展高质量招商引资活动。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bookmarkStart w:id="4" w:name="bookmark16"/>
      <w:bookmarkEnd w:id="4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支持打造高层次开放合作平台，促进开发区特色产业园区、创新创业平台、双向投资促进平台等载体建设。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4. 支持全市统一组织的境内外招商考察等投资促进活动。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bookmarkStart w:id="5" w:name="bookmark17"/>
      <w:bookmarkEnd w:id="5"/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其他有利于促进我市招商引资的事项。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楷体_GB2312" w:hAnsi="黑体" w:eastAsia="楷体_GB2312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）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促进对外投资合作</w:t>
      </w:r>
    </w:p>
    <w:p>
      <w:pPr>
        <w:pStyle w:val="14"/>
        <w:keepNext w:val="0"/>
        <w:keepLines w:val="0"/>
        <w:widowControl w:val="0"/>
        <w:numPr>
          <w:ilvl w:val="-1"/>
          <w:numId w:val="0"/>
        </w:numPr>
        <w:shd w:val="clear" w:color="auto" w:fill="auto"/>
        <w:tabs>
          <w:tab w:val="left" w:pos="1108"/>
        </w:tabs>
        <w:bidi w:val="0"/>
        <w:spacing w:before="0" w:after="0" w:line="593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u w:val="none"/>
          <w:shd w:val="cle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引导有序开展境外投资，促进深化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一带一路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经贸合作，支持搭建走出去风险保障平台，推进境外经济贸易合作区建设。</w:t>
      </w:r>
    </w:p>
    <w:p>
      <w:pPr>
        <w:pStyle w:val="14"/>
        <w:keepNext w:val="0"/>
        <w:keepLines w:val="0"/>
        <w:widowControl w:val="0"/>
        <w:numPr>
          <w:ilvl w:val="-1"/>
          <w:numId w:val="0"/>
        </w:numPr>
        <w:shd w:val="clear" w:color="auto" w:fill="auto"/>
        <w:tabs>
          <w:tab w:val="left" w:pos="1108"/>
        </w:tabs>
        <w:bidi w:val="0"/>
        <w:spacing w:before="0" w:after="0" w:line="593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u w:val="none"/>
          <w:shd w:val="clear"/>
        </w:rPr>
      </w:pPr>
      <w:bookmarkStart w:id="6" w:name="bookmark20"/>
      <w:bookmarkEnd w:id="6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支持对外承包工程提质增效，鼓励多种模式参与海外项目，带动装备、技术、标准、服务和劳务对外输出。</w:t>
      </w:r>
    </w:p>
    <w:p>
      <w:pPr>
        <w:pStyle w:val="14"/>
        <w:keepNext w:val="0"/>
        <w:keepLines w:val="0"/>
        <w:widowControl w:val="0"/>
        <w:numPr>
          <w:ilvl w:val="-1"/>
          <w:numId w:val="0"/>
        </w:numPr>
        <w:shd w:val="clear" w:color="auto" w:fill="auto"/>
        <w:tabs>
          <w:tab w:val="left" w:pos="1108"/>
        </w:tabs>
        <w:bidi w:val="0"/>
        <w:spacing w:before="0" w:after="0" w:line="593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u w:val="none"/>
          <w:shd w:val="clear"/>
        </w:rPr>
      </w:pPr>
      <w:bookmarkStart w:id="7" w:name="bookmark21"/>
      <w:bookmarkEnd w:id="7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鼓励加强对外劳务合作，大力发展高端劳务，优化外派劳务结构。</w:t>
      </w:r>
    </w:p>
    <w:p>
      <w:pPr>
        <w:pStyle w:val="14"/>
        <w:keepNext w:val="0"/>
        <w:keepLines w:val="0"/>
        <w:widowControl w:val="0"/>
        <w:numPr>
          <w:ilvl w:val="-1"/>
          <w:numId w:val="0"/>
        </w:numPr>
        <w:shd w:val="clear" w:color="auto" w:fill="auto"/>
        <w:tabs>
          <w:tab w:val="left" w:pos="1108"/>
        </w:tabs>
        <w:bidi w:val="0"/>
        <w:spacing w:before="0" w:after="0" w:line="593" w:lineRule="exact"/>
        <w:ind w:left="0" w:right="0" w:firstLine="640" w:firstLineChars="200"/>
        <w:jc w:val="both"/>
        <w:rPr>
          <w:rFonts w:hint="eastAsia" w:ascii="仿宋_GB2312" w:hAnsi="黑体" w:eastAsia="仿宋_GB2312" w:cs="Calibri"/>
          <w:color w:val="auto"/>
          <w:u w:val="none"/>
          <w:shd w:val="clear"/>
        </w:rPr>
      </w:pPr>
      <w:bookmarkStart w:id="8" w:name="bookmark22"/>
      <w:bookmarkEnd w:id="8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其他有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利于促进我市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对外投资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合作的事项。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仿宋_GB2312" w:hAnsi="黑体" w:eastAsia="楷体_GB2312" w:cs="Calibri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）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市委、市政府确定的其他重点工作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第六条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</w:rPr>
        <w:t>市业务主管部门按照市级预算编制工作要求， 对照相关领域事业发展的重点工作，提前做好项目论证、评估和分年度资金需求测算、绩效目标设定等基础性工作，研究提出商贸发展资金中期财政规划和年度预算安排建议，制定资金绩效目标，向市财政局提报预算申请。要做实做细项目库，确保专项资金项目全部按规定列入项目库，并按轻重缓急排序，实现定期更新和滚动管理，未纳入项目库管理的项目原则上不安排预算。预算编制中，对市委市政府确定的重大改革、重要政策和重点项目支出 要应编尽编。</w:t>
      </w:r>
    </w:p>
    <w:p>
      <w:pPr>
        <w:overflowPunct w:val="0"/>
        <w:adjustRightInd w:val="0"/>
        <w:snapToGrid w:val="0"/>
        <w:spacing w:line="580" w:lineRule="exact"/>
        <w:ind w:firstLine="641"/>
        <w:rPr>
          <w:rFonts w:hint="eastAsia" w:ascii="仿宋_GB2312" w:hAnsi="楷体" w:eastAsia="仿宋_GB2312" w:cs="Calibri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预算编制要求和资金管理规定，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提报的资金预算进行审核，综合考虑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支出政策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资金需求、财力可能、上年绩效等因素，研究提出年度预算安排意见，按程序报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人大审议批准。</w:t>
      </w: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ind w:firstLine="641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按照“谁申请资金，谁编制目标”原则，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要健全绩效目标编报机制。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在编制专项资金任务清单时同步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组织项目实施单位编制绩效目标，并进行审核。重点依据部门职责，结合中期财政规划和年度工作计划，从预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u w:val="none"/>
        </w:rPr>
        <w:t>期产出、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u w:val="none"/>
          <w:lang w:eastAsia="zh-CN"/>
        </w:rPr>
        <w:t>成本、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u w:val="none"/>
        </w:rPr>
        <w:t>预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期效果和服务对象满意度等方面，合理确定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资金整体绩效目标，设置绩效指标和标准，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确保可量化、可评估，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并将其作为预算申请和项目入库的前置条件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，实现定期更新和滚动管理。</w:t>
      </w:r>
    </w:p>
    <w:p>
      <w:pPr>
        <w:overflowPunct w:val="0"/>
        <w:adjustRightInd w:val="0"/>
        <w:snapToGrid w:val="0"/>
        <w:spacing w:line="580" w:lineRule="exact"/>
        <w:ind w:firstLine="641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第八条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建立重大政策和项目事前绩效评估机制。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申请通过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资金安排新增重大政策和项目支出预算时，应进行事前绩效评估，出具评估报告，重点对政策和项目预算设立必要性、投入经济性、绩效目标合理性、实施方案可行性、筹资合规性等进行论证评估。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根据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提报的预算申请、事前绩效评估报告等，对新增重大政策和项目预算进行审核，必要时可组织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开展财政事前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绩效评估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并将评估结果作为项目入库和安排预算的必要条件。未开展事前绩效评估和绩效评估结果差的政策和项目，不得列入中期财政规划和年度预算。</w:t>
      </w:r>
    </w:p>
    <w:p>
      <w:pPr>
        <w:overflowPunct w:val="0"/>
        <w:adjustRightInd w:val="0"/>
        <w:snapToGrid w:val="0"/>
        <w:spacing w:line="580" w:lineRule="exact"/>
        <w:ind w:firstLine="641"/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第九条　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资金实行任务清单管理，明确每项任务的具体支出事项、资金规模、绩效目标等内容。根据任务内容不同，将任务清单划分为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约束性任务和指导性任务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区（县）在完成约束性任务的前提下，可按规定统筹使用剩余资金，并将相关情况报市业务主管部门备案，由市业务主管部门汇总后报市财政局备案。</w:t>
      </w:r>
    </w:p>
    <w:p>
      <w:pPr>
        <w:overflowPunct w:val="0"/>
        <w:adjustRightInd w:val="0"/>
        <w:snapToGrid w:val="0"/>
        <w:spacing w:line="580" w:lineRule="exact"/>
        <w:ind w:firstLine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overflowPunct w:val="0"/>
        <w:adjustRightInd w:val="0"/>
        <w:snapToGrid w:val="0"/>
        <w:spacing w:line="580" w:lineRule="exact"/>
        <w:ind w:firstLine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章　预算执行</w:t>
      </w:r>
    </w:p>
    <w:p>
      <w:pPr>
        <w:overflowPunct w:val="0"/>
        <w:adjustRightInd w:val="0"/>
        <w:snapToGrid w:val="0"/>
        <w:spacing w:line="580" w:lineRule="exact"/>
        <w:ind w:firstLine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第十条</w:t>
      </w:r>
      <w:r>
        <w:rPr>
          <w:rFonts w:hint="eastAsia" w:ascii="楷体_GB2312" w:eastAsia="楷体_GB2312"/>
          <w:color w:val="auto"/>
          <w:sz w:val="32"/>
          <w:szCs w:val="32"/>
        </w:rPr>
        <w:t>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级预算经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人民代表大会审议批准后，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业主管部门</w:t>
      </w:r>
      <w:r>
        <w:rPr>
          <w:rFonts w:hint="eastAsia" w:ascii="仿宋_GB2312" w:eastAsia="仿宋_GB2312"/>
          <w:color w:val="auto"/>
          <w:sz w:val="32"/>
          <w:szCs w:val="32"/>
        </w:rPr>
        <w:t>应根据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eastAsia="仿宋_GB2312"/>
          <w:color w:val="auto"/>
          <w:sz w:val="32"/>
          <w:szCs w:val="32"/>
        </w:rPr>
        <w:t>资金年度预算规模和任务清单，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研究制定资金分配方案，及时提报预算执行计划书，明确预算执行的</w:t>
      </w:r>
      <w:r>
        <w:rPr>
          <w:rFonts w:hint="eastAsia" w:ascii="仿宋_GB2312" w:eastAsia="仿宋_GB2312"/>
          <w:color w:val="auto"/>
          <w:sz w:val="32"/>
          <w:szCs w:val="32"/>
        </w:rPr>
        <w:t>时间节点和工作措施，并按规定时间报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eastAsia="仿宋_GB2312"/>
          <w:color w:val="auto"/>
          <w:sz w:val="32"/>
          <w:szCs w:val="32"/>
        </w:rPr>
        <w:t>备案。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楷体_GB2312" w:hAnsi="黑体" w:eastAsia="楷体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第十一条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资金采取因素法与项目法相结合的分配管理方式。其中，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本级支出的资金需纳入相关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级部门年度部门预算，按照预算管理有关规定批复下达。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应按照“应放尽放”的原则，将资金主要采取因素法或项目法切块分配下达。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级确需保留审批权的项目，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应从严控制，制定相关任务清单，报分管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领导同意后实施。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  <w:lang w:val="en-US" w:eastAsia="zh-CN"/>
        </w:rPr>
        <w:t>第十二条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 xml:space="preserve"> 采取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项目法分配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市级业务主管部门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主要采取竞争择优、以奖代补等方式遴选项目，确保项目安排合理合法，相关项目清单应在编制下一年度预算前确定。市业务主管部门在下达申报通知时，应明确下级主管部门会商或会签财政部门的具体方式。</w:t>
      </w:r>
    </w:p>
    <w:p>
      <w:pPr>
        <w:numPr>
          <w:ilvl w:val="-1"/>
          <w:numId w:val="0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采取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因素法分配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的资金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。市业务主管部门要依据资金管理办法和各区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(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县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)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进出口、利用外资、对外投资合作等业务情况、外贸企业数量、绩效评价结果等，科学遴选确定分配因素和权重，研究制定资金分配方案。</w:t>
      </w:r>
    </w:p>
    <w:p>
      <w:pPr>
        <w:numPr>
          <w:ilvl w:val="-1"/>
          <w:numId w:val="0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招商引资激励类资金。按照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市级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相关政策予以兑现。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91" w:lineRule="exact"/>
        <w:ind w:left="0" w:right="0" w:firstLine="700"/>
        <w:jc w:val="both"/>
        <w:rPr>
          <w:rFonts w:hint="default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val="en-US" w:eastAsia="zh-CN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</w:t>
      </w:r>
      <w:r>
        <w:rPr>
          <w:rFonts w:hint="eastAsia" w:ascii="楷体_GB2312" w:hAnsi="黑体" w:eastAsia="楷体_GB2312" w:cs="Calibri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Calibri"/>
          <w:color w:val="auto"/>
          <w:sz w:val="32"/>
          <w:szCs w:val="32"/>
        </w:rPr>
        <w:t>条</w:t>
      </w:r>
      <w:r>
        <w:rPr>
          <w:rFonts w:hint="eastAsia" w:ascii="仿宋_GB2312" w:hAnsi="黑体" w:eastAsia="仿宋_GB2312" w:cs="Calibri"/>
          <w:color w:val="auto"/>
          <w:sz w:val="32"/>
          <w:szCs w:val="32"/>
          <w:u w:val="none"/>
          <w:shd w:val="clear"/>
        </w:rPr>
        <w:t>　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商贸发展资金项目安排及资金分配方案，须按照“三重一大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eastAsia="zh-CN"/>
        </w:rPr>
        <w:t>”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要求，由市业务主管部门党组（党委）会议集体研究同意后，在规定时限内以正式文件送达市财政局。大额资金分配和重要项目安排，应报分管市领导同意。市财政局按规定进行合规性审核，在法定时限内按照程序下达预算指标分配文件，同步下达专项资金任务清单和绩效目标或提出绩效目标编制要求。市财政局合规性审核的内容主要是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程序合法性、政策合规性、资金分配合理性及绩效目标规范性。资金支付应按照国库集中支付、政府采购、政府购买服务、财政制度与财经纪律等有关规定执行。市业务主管部门可根据需要，同步下达项目实施计划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</w:t>
      </w:r>
      <w:r>
        <w:rPr>
          <w:rFonts w:hint="eastAsia" w:ascii="楷体_GB2312" w:hAnsi="黑体" w:eastAsia="楷体_GB2312" w:cs="Calibri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黑体" w:eastAsia="楷体_GB2312" w:cs="Calibri"/>
          <w:color w:val="auto"/>
          <w:sz w:val="32"/>
          <w:szCs w:val="32"/>
        </w:rPr>
        <w:t>条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　除国家和省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、市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规定的共同财政事权外，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资金不得要求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区（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县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乡镇（街道）安排配套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区（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县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不得将乡镇（街道）投入情况作为资金分配的前置条件。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楷体" w:eastAsia="仿宋_GB2312" w:cs="仿宋_GB2312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第十五条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u w:val="none"/>
          <w:shd w:val="clear" w:color="auto" w:fill="auto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  <w:u w:val="none"/>
          <w:shd w:val="clear" w:color="auto" w:fill="auto"/>
        </w:rPr>
        <w:t>资金</w:t>
      </w:r>
      <w:r>
        <w:rPr>
          <w:rFonts w:hint="eastAsia" w:ascii="仿宋_GB2312" w:hAnsi="楷体" w:eastAsia="仿宋_GB2312" w:cs="仿宋_GB2312"/>
          <w:color w:val="auto"/>
          <w:sz w:val="32"/>
          <w:szCs w:val="32"/>
        </w:rPr>
        <w:t>预算一经确定</w:t>
      </w:r>
      <w:r>
        <w:rPr>
          <w:rFonts w:hint="eastAsia" w:ascii="仿宋_GB2312" w:hAnsi="楷体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仿宋_GB2312"/>
          <w:color w:val="auto"/>
          <w:sz w:val="32"/>
          <w:szCs w:val="32"/>
        </w:rPr>
        <w:t>各相关单位应尽快组织实施，加快预算支出进度，原则上应于当年形成支出，结转结余资金按照财政部门有关规定执行。</w:t>
      </w:r>
    </w:p>
    <w:p>
      <w:pPr>
        <w:overflowPunct w:val="0"/>
        <w:adjustRightInd w:val="0"/>
        <w:snapToGrid w:val="0"/>
        <w:spacing w:line="580" w:lineRule="exact"/>
        <w:ind w:firstLine="640"/>
        <w:jc w:val="left"/>
        <w:rPr>
          <w:rFonts w:hint="eastAsia" w:ascii="仿宋_GB2312" w:hAnsi="楷体" w:eastAsia="仿宋_GB2312" w:cs="Calibri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章　监督管理</w:t>
      </w:r>
    </w:p>
    <w:p>
      <w:pPr>
        <w:overflowPunct w:val="0"/>
        <w:adjustRightInd w:val="0"/>
        <w:snapToGrid w:val="0"/>
        <w:spacing w:line="58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第十六条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要督促指导项目实施单位，严格按照资金管理以及财务管理有关规定使用资金，确保专款专用，不得挤占、挪用，不得任意改变资金用途和扩大使用范围，不得虚假列支，不得任意变更预算支出科目。年度执行中确需调整预算和绩效目标的，应当按照预算管理有关规定报批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建立健全预算执行动态监控机制，定期通报资金分配进度和本级预算支出进度。</w:t>
      </w:r>
    </w:p>
    <w:p>
      <w:pPr>
        <w:overflowPunct w:val="0"/>
        <w:snapToGrid w:val="0"/>
        <w:spacing w:line="580" w:lineRule="exact"/>
        <w:ind w:firstLine="640" w:firstLineChars="200"/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  <w:highlight w:val="none"/>
        </w:rPr>
        <w:t>第</w:t>
      </w:r>
      <w:r>
        <w:rPr>
          <w:rFonts w:hint="eastAsia" w:ascii="楷体_GB2312" w:hAnsi="黑体" w:eastAsia="楷体_GB2312" w:cs="Calibri"/>
          <w:color w:val="auto"/>
          <w:sz w:val="32"/>
          <w:szCs w:val="32"/>
          <w:highlight w:val="none"/>
          <w:u w:val="none"/>
        </w:rPr>
        <w:t>十七条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业务主管部门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是绩效运行监控的责任主体，应对绩效目标实现程度和预算执行进度实行“双监控”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，动态掌握政策和项目进展，以及资金使用和绩效目标完成情况，对监控发现的问题和绩效目标偏差，及时采取有针对性的措施予以纠正。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市财政局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根据管理需要开展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财政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重点监控，对发现资金使用中存在的问题和绩效目标执行中的偏差，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督促部门单位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及时进行整改，对问题严重的，暂缓、停止拨款或收回资金。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  <w:highlight w:val="none"/>
        </w:rPr>
        <w:t>第十八条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年度预算执行完毕后，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市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业务主管部门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组织项目实施单位开展绩效自评，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将相关资料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报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市财政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局。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市财政局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u w:val="none"/>
        </w:rPr>
        <w:t>根据管理需要对自评情况进行抽查复核。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业务主管部门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市财政局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根据管理需要分别对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商贸发展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资金进行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部门评价和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重点评价。对绩效评价发现的问题，要及时进行整改，绩效评价结果作为以后年度资金安排和分配的重要依据。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第十九条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分别按照财政专项资金信息公开有关规定和“谁主管、谁负责、谁公开”的原则，建立健全专项资金信息公开机制，自觉接受社会监督。其中：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主要负责公开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商贸发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资金管理办法、财政重点绩效评价结果等。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主要负责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资金任务清单和具体支出政策、项目申报指南、资金分配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方式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和分配结果、相关绩效信息等。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第二十条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　项目实施单位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对申报资料的真实性、准确性、完整性负责，对资金的合法合规使用，以及项目实施进度、实施效果承担直接主体责任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。对骗取、违反规定使用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资金的，按照《中华人民共和国预算法》《财政违法行为处罚处分条例》（国务院令第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427号）等有关规定处理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并纳入负面清单管理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；涉嫌犯罪的，移送司法机关依法追究刑事责任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第二十一条</w:t>
      </w:r>
      <w:r>
        <w:rPr>
          <w:rFonts w:hint="eastAsia" w:ascii="楷体_GB2312" w:hAnsi="黑体" w:eastAsia="楷体_GB2312" w:cs="Calibr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各级业务主管部门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应对商贸发展资金申报材料审核把关，对其合规性、完整性负责，并加强对实施项目的全程监督，保证项目顺利实施。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各级业务主管部门、财政部门要主动接受人大、纪检监察、审计等方面的监督。对在各项审计和监督检查中发现存在违规违纪问题的，按照《中华人民共和国预算法》《中华人民共和国公务员法》《财政违法行为处罚处分条例》（国务院令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427号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）等国家有关规定，追究相应责任；涉嫌犯罪的，移送司法机关处理。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第五章　附  则</w:t>
      </w:r>
    </w:p>
    <w:p>
      <w:pPr>
        <w:overflowPunct w:val="0"/>
        <w:adjustRightInd w:val="0"/>
        <w:snapToGrid w:val="0"/>
        <w:spacing w:line="58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第二十二条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可根据本办法，结合工作需要牵头制定具体资金管理实施细则。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第二十三条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本办法自发布之日起生效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，有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效期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至2025年12月31日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此前《淄博市市级商贸发展和市场开拓资金管理办法》（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淄财工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）同时废止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信息公开选项</w:t>
      </w:r>
      <w:r>
        <w:rPr>
          <w:rFonts w:hint="eastAsia" w:ascii="仿宋_GB2312" w:eastAsia="仿宋_GB2312"/>
          <w:color w:val="auto"/>
          <w:sz w:val="28"/>
          <w:szCs w:val="28"/>
        </w:rPr>
        <w:t>:</w:t>
      </w:r>
      <w:r>
        <w:rPr>
          <w:rFonts w:hint="eastAsia" w:ascii="方正小标宋简体" w:eastAsia="方正小标宋简体"/>
          <w:color w:val="auto"/>
          <w:sz w:val="28"/>
          <w:szCs w:val="28"/>
        </w:rPr>
        <w:t xml:space="preserve"> </w:t>
      </w:r>
      <w:bookmarkStart w:id="9" w:name="OpenType"/>
      <w:r>
        <w:rPr>
          <w:rFonts w:hint="eastAsia" w:ascii="方正小标宋简体" w:eastAsia="方正小标宋简体"/>
          <w:color w:val="auto"/>
          <w:sz w:val="28"/>
          <w:szCs w:val="28"/>
        </w:rPr>
        <w:t>主动公开</w:t>
      </w:r>
      <w:bookmarkEnd w:id="9"/>
    </w:p>
    <w:p>
      <w:pPr>
        <w:spacing w:line="600" w:lineRule="exact"/>
        <w:ind w:firstLine="280" w:firstLineChars="100"/>
        <w:rPr>
          <w:rFonts w:hint="eastAsia"/>
          <w:color w:val="auto"/>
          <w:sz w:val="28"/>
          <w:szCs w:val="28"/>
        </w:rPr>
      </w:pPr>
      <w:bookmarkStart w:id="10" w:name="CopyTo"/>
      <w:bookmarkEnd w:id="10"/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734050" cy="0"/>
                <wp:effectExtent l="0" t="0" r="0" b="0"/>
                <wp:wrapNone/>
                <wp:docPr id="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2.05pt;height:0pt;width:451.5pt;z-index:251661312;mso-width-relative:page;mso-height-relative:page;" filled="f" stroked="t" coordsize="21600,21600" o:gfxdata="UEsFBgAAAAAAAAAAAAAAAAAAAAAAAFBLAwQKAAAAAACHTuJAAAAAAAAAAAAAAAAABAAAAGRycy9Q&#10;SwMEFAAAAAgAh07iQPVr/97TAAAABAEAAA8AAABkcnMvZG93bnJldi54bWxNj8tOwzAQRfdI/IM1&#10;SOyonYIghDhdgKoKxKYtEttpMsSBeJzG7oO/Z+gGlkd3dO+Zcnb0vdrTGLvAFrKJAUVch6bj1sLb&#10;en6Vg4oJucE+MFn4pgiz6vysxKIJB17SfpVaJSUcC7TgUhoKrWPtyGOchIFYso8wekyCY6ubEQ9S&#10;7ns9NeZWe+xYFhwO9Oio/lrtvAV8WizTez59ueue3evner5duHxr7eVFZh5AJTqmv2P41Rd1qMRp&#10;E3bcRNVbkEeShZsMlIT35lp4c2Jdlfq/fPUDUEsDBBQAAAAIAIdO4kC0EfIH0AEAAJIDAAAOAAAA&#10;ZHJzL2Uyb0RvYy54bWytU0uOEzEQ3SNxB8t70p0Mw6BWOrOYMGwQRAIOUPGn25J/Kjvp5CxcgxUb&#10;jjPXoOxkMnw2CJGFU3aVX733XL28PTjL9gqTCb7n81nLmfIiSOOHnn/+dP/iNWcpg5dgg1c9P6rE&#10;b1fPny2n2KlFGIOVChmB+NRNsedjzrFrmiRG5SDNQlSekjqgg0xbHBqJMBG6s82ibV81U0AZMQiV&#10;Ep2uT0m+qvhaK5E/aJ1UZrbnxC3XFeu6LWuzWkI3IMTRiDMN+AcWDoynpheoNWRgOzR/QDkjMKSg&#10;80wE1wStjVBVA6mZt7+p+ThCVFULmZPixab0/2DF+/0GmZE9X3DmwdETPXz5+vDtO5tfFXOmmDqq&#10;ufMbPO9S3GBRetDoyj9pYIdq6PFiqDpkJujw+ubqZXtNvovHXPN0MWLKb1VwrAQ9t8YXrdDB/l3K&#10;1IxKH0vKsfVsoglb3LQFD2hWtIVMoYvEPvmhXk7BGnlvrC1XEg7bO4tsD+X1669oIuBfykqXNaTx&#10;VFdTp7kYFcg3XrJ8jOSLpwHmhYNTkjOraN5LRIDQZTD2byqptfXEoNh6MrJE2yCP9Aq7iGYYyYqM&#10;O1WJliQ9fKV8HtIyWT/vK9jTp7T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PVr/97TAAAABAEA&#10;AA8AAAAAAAAAAQAgAAAAOAAAAGRycy9kb3ducmV2LnhtbFBLAQIUABQAAAAIAIdO4kC0EfIH0AEA&#10;AJIDAAAOAAAAAAAAAAEAIAAAADg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5734050" cy="0"/>
                <wp:effectExtent l="0" t="0" r="0" b="0"/>
                <wp:wrapNone/>
                <wp:docPr id="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31pt;height:0pt;width:451.5pt;z-index:251660288;mso-width-relative:page;mso-height-relative:page;" filled="f" stroked="t" coordsize="21600,21600" o:gfxdata="UEsFBgAAAAAAAAAAAAAAAAAAAAAAAFBLAwQKAAAAAACHTuJAAAAAAAAAAAAAAAAABAAAAGRycy9Q&#10;SwMEFAAAAAgAh07iQKzFuMbVAAAABgEAAA8AAABkcnMvZG93bnJldi54bWxNj8tOwzAQRfdI/IM1&#10;SOyo0yCVEOJ0AaoqEJu2SGyn8RAH4nEauw/+nkEsymoed3TvmWp+8r060Bi7wAamkwwUcRNsx62B&#10;t83ipgAVE7LFPjAZ+KYI8/ryosLShiOv6LBOrRITjiUacCkNpdaxceQxTsJALNpHGD0mGcdW2xGP&#10;Yu57nWfZTHvsWBIcDvToqPla770BfFqu0nuRv9x1z+71c7PYLV2xM+b6apo9gEp0Sudj+MUXdKiF&#10;aRv2bKPqDcgjycAslyrqfXYrzfZvoetK/8evfwBQSwMEFAAAAAgAh07iQPE0iOzPAQAAkgMAAA4A&#10;AABkcnMvZTJvRG9jLnhtbK1TS44TMRDdI3EHy3vSncAwqJXOLCYMGwSRGA5Q8afbkn9yOenkLFyD&#10;FRuOM9eg7GQyfDYIkYVTdpWf33tVvbw5OMv2KqEJvufzWcuZ8iJI44eef76/e/GGM8zgJdjgVc+P&#10;CvnN6vmz5RQ7tQhjsFIlRiAeuyn2fMw5dk2DYlQOcBai8pTUITnItE1DIxNMhO5ss2jb180Ukowp&#10;CIVIp+tTkq8qvtZK5I9ao8rM9py45bqmum7L2qyW0A0J4mjEmQb8AwsHxtOjF6g1ZGC7ZP6Ackak&#10;gEHnmQiuCVoboaoGUjNvf1PzaYSoqhYyB+PFJvx/sOLDfpOYkdQ7zjw4atHDl68P376z+aKYM0Xs&#10;qObWb9J5h3GTitKDTq78kwZ2qIYeL4aqQ2aCDq+uX75qr8h38Zhrni7GhPmdCo6VoOfW+KIVOti/&#10;x0yPUeljSTm2nk3EcnHdFjygWdEWMoUuEnv0Q72MwRp5Z6wtVzAN21ub2B5K9+uvaCLgX8rKK2vA&#10;8VRXU6e5GBXIt16yfIzki6cB5oWDU5Izq2jeS0SA0GUw9m8q6WnriUGx9WRkibZBHqkLu5jMMJIV&#10;Oe1UJVqS1PhK+TykZbJ+3lewp09p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sxbjG1QAAAAYB&#10;AAAPAAAAAAAAAAEAIAAAADgAAABkcnMvZG93bnJldi54bWxQSwECFAAUAAAACACHTuJA8TSI7M8B&#10;AACSAwAADgAAAAAAAAABACAAAAA6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淄博市财政局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办公室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日印发 </w:t>
      </w:r>
    </w:p>
    <w:sectPr>
      <w:footerReference r:id="rId5" w:type="default"/>
      <w:pgSz w:w="11906" w:h="16838"/>
      <w:pgMar w:top="1984" w:right="1418" w:bottom="1361" w:left="1474" w:header="851" w:footer="136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大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文星简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MR43nVAAAABwEAAA8AAABkcnMvZG93bnJldi54bWxNj0tPwzAQhO9I/Adr&#10;kbhROymPKI1TiYpwRKLhwNGNt0nAj8h20/DvWU70tLOa1cy31Xaxhs0Y4uidhGwlgKHrvB5dL+Gj&#10;be4KYDEpp5XxDiX8YIRtfX1VqVL7s3vHeZ96RiEulkrCkNJUch67Aa2KKz+hI+/og1WJ1tBzHdSZ&#10;wq3huRCP3KrRUcOgJtwN2H3vT1bCrmnbMGMM5hNfm/XX2/M9vixS3t5kYgMs4ZL+j+EPn9ChJqaD&#10;PzkdmZFAjyQJ+RNNcvOiIHGQsM4eBPC64pf89S9QSwMEFAAAAAgAh07iQOIy4A4bAgAAKQQAAA4A&#10;AABkcnMvZTJvRG9jLnhtbK1TS44TMRDdI3EHy3vSSRCjKEpnFGYUhBQxIw2IteO20y35J9tJdzgA&#10;3IAVG/acK+fg2elOELBCbOwqV7k+r14tbjutyEH40FhT0sloTIkw3FaN2ZX0w/v1ixklITJTMWWN&#10;KOlRBHq7fP5s0bq5mNraqkp4giAmzFtX0jpGNy+KwGuhWRhZJwyM0nrNIlS/KyrPWkTXqpiOxzdF&#10;a33lvOUiBLzen410meNLKXh8kDKISFRJUVvMp8/nNp3FcsHmO89c3fC+DPYPVWjWGCS9hLpnkZG9&#10;b/4IpRvubbAyjrjVhZWy4SL3gG4m49+6eaqZE7kXgBPcBabw/8Lyd4dHT5qqpBiUYRojOn39cvr2&#10;4/T9M5kleFoX5vB6cvCL3WvblTT6vRhMAe+p8U56nW60ROACrI8XfEUXCcfjZDadzcYwcdgGBSmK&#10;63fnQ3wjrCZJKKnHADOu7LAJ8ew6uKRsxq4bpfIQlSFtSW9evhrnDxcLgiuDHKmPc7FJit2265vb&#10;2uqI3rw9kyM4vm6QfMNCfGQebEDBYHh8wCGVRRLbS5TU1n/623vyx5BgpaQFu0pqQH9K1FuD4SUi&#10;DoIfhO0gmL2+s6DrBJvjeBbxwUc1iNJb/RG0X6UckqmAwMxwZMNoBvEuQuuNWB8uVquLvne+2dXX&#10;z6CiY3Fjnhzvh5uwDW61j8A3w54wOwPVQwk+5sH1u5MI/6ueva4b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xHjedUAAAAHAQAADwAAAAAAAAABACAAAAA4AAAAZHJzL2Rvd25yZXYueG1sUEsB&#10;AhQAFAAAAAgAh07iQOIy4A4bAgAAKQ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—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MR43nVAAAABwEAAA8AAABkcnMvZG93bnJldi54bWxNj0tPwzAQhO9I/Adr&#10;kbhROymPKI1TiYpwRKLhwNGNt0nAj8h20/DvWU70tLOa1cy31Xaxhs0Y4uidhGwlgKHrvB5dL+Gj&#10;be4KYDEpp5XxDiX8YIRtfX1VqVL7s3vHeZ96RiEulkrCkNJUch67Aa2KKz+hI+/og1WJ1tBzHdSZ&#10;wq3huRCP3KrRUcOgJtwN2H3vT1bCrmnbMGMM5hNfm/XX2/M9vixS3t5kYgMs4ZL+j+EPn9ChJqaD&#10;PzkdmZFAjyQJ+RNNcvOiIHGQsM4eBPC64pf89S9QSwMEFAAAAAgAh07iQBbCHgMcAgAAKwQAAA4A&#10;AABkcnMvZTJvRG9jLnhtbK1TzY4TMQy+I/EOUe502iJWVdXpquyqCKliV1oQ5zSTdEbKn5K0M+UB&#10;4A04ceHOc/U5+JLOtAg4IS6JHTuf7c/24rbTihyED401JZ2MxpQIw23VmF1JP7xfv5hREiIzFVPW&#10;iJIeRaC3y+fPFq2bi6mtraqEJwAxYd66ktYxunlRBF4LzcLIOmFglNZrFqH6XVF51gJdq2I6Ht8U&#10;rfWV85aLEPB6fzbSZcaXUvD4IGUQkaiSIreYT5/PbTqL5YLNd565uuF9GuwfstCsMQh6gbpnkZG9&#10;b/6A0g33NlgZR9zqwkrZcJFrQDWT8W/VPNXMiVwLyAnuQlP4f7D83eHRk6ZC70CPYRo9On39cvr2&#10;4/T9M8EbCGpdmMPvycEzdq9tV9Lo92IwBbyn0jvpdbpRFIEL4I4XhkUXCcfjZDadzcYwcdgGBSGK&#10;63fnQ3wjrCZJKKlHCzOz7LAJ8ew6uKRoxq4bpXIblSFtSW9evhrnDxcLwJVBjFTHOdkkxW7b9cVt&#10;bXVEbd6exyM4vm4QfMNCfGQe84CEMePxAYdUFkFsL1FSW//pb+/JH22ClZIW81VSgwWgRL01aB8A&#10;4yD4QdgOgtnrO4uBnWB3HM8iPvioBlF6qz9i8FcphmQqAJgZjmhozSDeRWi9EQvExWp10ffON7v6&#10;+hnD6FjcmCfH++YmboNb7SP4zbQnzs5E9VRiInPj+u1JI/+rnr2uO77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MR43nVAAAABwEAAA8AAAAAAAAAAQAgAAAAOAAAAGRycy9kb3ducmV2LnhtbFBL&#10;AQIUABQAAAAIAIdO4kAWwh4DHAIAACsEAAAOAAAAAAAAAAEAIAAAADo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7FC30"/>
    <w:multiLevelType w:val="singleLevel"/>
    <w:tmpl w:val="61A7FC30"/>
    <w:lvl w:ilvl="0" w:tentative="0">
      <w:start w:val="7"/>
      <w:numFmt w:val="chineseCounting"/>
      <w:suff w:val="nothing"/>
      <w:lvlText w:val="第%1条"/>
      <w:lvlJc w:val="left"/>
      <w:rPr>
        <w:rFonts w:hint="eastAsia" w:ascii="楷体_GB2312" w:eastAsia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1E"/>
    <w:rsid w:val="00074071"/>
    <w:rsid w:val="000C05C5"/>
    <w:rsid w:val="00123986"/>
    <w:rsid w:val="001A2DC6"/>
    <w:rsid w:val="001D223C"/>
    <w:rsid w:val="001F5932"/>
    <w:rsid w:val="002765B1"/>
    <w:rsid w:val="00286613"/>
    <w:rsid w:val="002E1E1C"/>
    <w:rsid w:val="0030601E"/>
    <w:rsid w:val="00310C20"/>
    <w:rsid w:val="00467EC9"/>
    <w:rsid w:val="004706F9"/>
    <w:rsid w:val="00503043"/>
    <w:rsid w:val="00504102"/>
    <w:rsid w:val="005C4E40"/>
    <w:rsid w:val="00652A7C"/>
    <w:rsid w:val="0067151F"/>
    <w:rsid w:val="007029AE"/>
    <w:rsid w:val="00784013"/>
    <w:rsid w:val="007C5C98"/>
    <w:rsid w:val="007D000F"/>
    <w:rsid w:val="007F4FA3"/>
    <w:rsid w:val="00855A3E"/>
    <w:rsid w:val="0089550A"/>
    <w:rsid w:val="008F4237"/>
    <w:rsid w:val="008F47DA"/>
    <w:rsid w:val="00945AE3"/>
    <w:rsid w:val="00956092"/>
    <w:rsid w:val="009A1922"/>
    <w:rsid w:val="009F1B2A"/>
    <w:rsid w:val="00A57756"/>
    <w:rsid w:val="00A650E1"/>
    <w:rsid w:val="00AB3FC5"/>
    <w:rsid w:val="00B04219"/>
    <w:rsid w:val="00B80CBC"/>
    <w:rsid w:val="00BC4C2E"/>
    <w:rsid w:val="00CD0FC4"/>
    <w:rsid w:val="00CD6340"/>
    <w:rsid w:val="00CF4693"/>
    <w:rsid w:val="00D141A1"/>
    <w:rsid w:val="00D5508A"/>
    <w:rsid w:val="00D61122"/>
    <w:rsid w:val="00DB32CC"/>
    <w:rsid w:val="00DE628F"/>
    <w:rsid w:val="00E16704"/>
    <w:rsid w:val="00E40973"/>
    <w:rsid w:val="00E826B0"/>
    <w:rsid w:val="00E922F7"/>
    <w:rsid w:val="00E952D8"/>
    <w:rsid w:val="00EB7047"/>
    <w:rsid w:val="00F2447D"/>
    <w:rsid w:val="00F24E9B"/>
    <w:rsid w:val="00F721C3"/>
    <w:rsid w:val="00F76320"/>
    <w:rsid w:val="00F94A95"/>
    <w:rsid w:val="00FE1A26"/>
    <w:rsid w:val="00FF5DA5"/>
    <w:rsid w:val="01FE0435"/>
    <w:rsid w:val="02DB737A"/>
    <w:rsid w:val="052E0B42"/>
    <w:rsid w:val="058F55C1"/>
    <w:rsid w:val="05CE018D"/>
    <w:rsid w:val="061471C3"/>
    <w:rsid w:val="065437AE"/>
    <w:rsid w:val="06BC0C88"/>
    <w:rsid w:val="0793324F"/>
    <w:rsid w:val="09BD2747"/>
    <w:rsid w:val="0AD102B1"/>
    <w:rsid w:val="0BE1018A"/>
    <w:rsid w:val="0C862C27"/>
    <w:rsid w:val="0FE430CF"/>
    <w:rsid w:val="11D62A5A"/>
    <w:rsid w:val="12C25CFA"/>
    <w:rsid w:val="12DA546C"/>
    <w:rsid w:val="130E36F9"/>
    <w:rsid w:val="137A53CF"/>
    <w:rsid w:val="156C073F"/>
    <w:rsid w:val="159D0524"/>
    <w:rsid w:val="162E0EDB"/>
    <w:rsid w:val="181126FB"/>
    <w:rsid w:val="19DE17A2"/>
    <w:rsid w:val="1AF600DB"/>
    <w:rsid w:val="1C704932"/>
    <w:rsid w:val="1DBA482F"/>
    <w:rsid w:val="1E627891"/>
    <w:rsid w:val="1EAC24BE"/>
    <w:rsid w:val="21135BC6"/>
    <w:rsid w:val="224974D0"/>
    <w:rsid w:val="22735996"/>
    <w:rsid w:val="23196F16"/>
    <w:rsid w:val="23360D50"/>
    <w:rsid w:val="239A29E6"/>
    <w:rsid w:val="24F85A3E"/>
    <w:rsid w:val="26A87638"/>
    <w:rsid w:val="27A00216"/>
    <w:rsid w:val="27D013CD"/>
    <w:rsid w:val="297807B8"/>
    <w:rsid w:val="29E0345D"/>
    <w:rsid w:val="2CDA7EAE"/>
    <w:rsid w:val="2D6B10E5"/>
    <w:rsid w:val="31C33C74"/>
    <w:rsid w:val="32665DD3"/>
    <w:rsid w:val="32E37BA7"/>
    <w:rsid w:val="332C1AE4"/>
    <w:rsid w:val="33423E3B"/>
    <w:rsid w:val="33922FDA"/>
    <w:rsid w:val="346F7425"/>
    <w:rsid w:val="35040F15"/>
    <w:rsid w:val="359E4CFC"/>
    <w:rsid w:val="36A15E2F"/>
    <w:rsid w:val="388C7BED"/>
    <w:rsid w:val="39F437A5"/>
    <w:rsid w:val="3A3622AA"/>
    <w:rsid w:val="3A5D17E9"/>
    <w:rsid w:val="3B1443B4"/>
    <w:rsid w:val="3B553E5F"/>
    <w:rsid w:val="3B9F15AB"/>
    <w:rsid w:val="3C097AAF"/>
    <w:rsid w:val="3C3841A6"/>
    <w:rsid w:val="3C53140D"/>
    <w:rsid w:val="3D6E7772"/>
    <w:rsid w:val="3D7143A2"/>
    <w:rsid w:val="3EDD511D"/>
    <w:rsid w:val="412605B8"/>
    <w:rsid w:val="41B721C2"/>
    <w:rsid w:val="422273DD"/>
    <w:rsid w:val="44036FF2"/>
    <w:rsid w:val="44D93B8D"/>
    <w:rsid w:val="45F054CF"/>
    <w:rsid w:val="46B45FBC"/>
    <w:rsid w:val="478A03BA"/>
    <w:rsid w:val="47F65B5D"/>
    <w:rsid w:val="498A0E2B"/>
    <w:rsid w:val="49F239B1"/>
    <w:rsid w:val="4C512C3F"/>
    <w:rsid w:val="4C9C40E3"/>
    <w:rsid w:val="4F26123B"/>
    <w:rsid w:val="50385039"/>
    <w:rsid w:val="507843A3"/>
    <w:rsid w:val="54F47D11"/>
    <w:rsid w:val="5A201A9E"/>
    <w:rsid w:val="5A9141BC"/>
    <w:rsid w:val="5B5908F1"/>
    <w:rsid w:val="5B8738B0"/>
    <w:rsid w:val="5BFE4AA7"/>
    <w:rsid w:val="5CE856E5"/>
    <w:rsid w:val="5E9E4D7E"/>
    <w:rsid w:val="5F626706"/>
    <w:rsid w:val="610B5FB0"/>
    <w:rsid w:val="630D64D3"/>
    <w:rsid w:val="63396794"/>
    <w:rsid w:val="658B2773"/>
    <w:rsid w:val="66F36333"/>
    <w:rsid w:val="67214BDB"/>
    <w:rsid w:val="68A8063B"/>
    <w:rsid w:val="69C633E4"/>
    <w:rsid w:val="6BC8789F"/>
    <w:rsid w:val="6C246094"/>
    <w:rsid w:val="6D4630B3"/>
    <w:rsid w:val="6D9D4B65"/>
    <w:rsid w:val="6E4A644E"/>
    <w:rsid w:val="705C508E"/>
    <w:rsid w:val="718D6E6A"/>
    <w:rsid w:val="72C200C2"/>
    <w:rsid w:val="72FA0C86"/>
    <w:rsid w:val="74725023"/>
    <w:rsid w:val="76D41977"/>
    <w:rsid w:val="78AB9E7C"/>
    <w:rsid w:val="7BEE5A44"/>
    <w:rsid w:val="7FB82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文星简大标宋"/>
      <w:szCs w:val="21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样式1"/>
    <w:basedOn w:val="1"/>
    <w:qFormat/>
    <w:uiPriority w:val="0"/>
    <w:pPr>
      <w:spacing w:line="600" w:lineRule="atLeast"/>
    </w:pPr>
    <w:rPr>
      <w:rFonts w:eastAsia="文星简仿宋"/>
      <w:sz w:val="32"/>
      <w:szCs w:val="20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正文文本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beelink</Company>
  <Pages>13</Pages>
  <Words>4817</Words>
  <Characters>4871</Characters>
  <Lines>38</Lines>
  <Paragraphs>10</Paragraphs>
  <TotalTime>27</TotalTime>
  <ScaleCrop>false</ScaleCrop>
  <LinksUpToDate>false</LinksUpToDate>
  <CharactersWithSpaces>5063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2021-01-08T10:32:00Z</dcterms:created>
  <dc:creator>刘冰</dc:creator>
  <cp:lastModifiedBy>test</cp:lastModifiedBy>
  <cp:lastPrinted>2024-05-16T01:20:00Z</cp:lastPrinted>
  <dcterms:modified xsi:type="dcterms:W3CDTF">2024-05-30T10:10:36Z</dcterms:modified>
  <dc:title>山东省财政厅文件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C0A946DFC7C9482FA6C69B741F9111DC</vt:lpwstr>
  </property>
</Properties>
</file>