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color w:val="auto"/>
          <w:sz w:val="32"/>
        </w:rPr>
      </w:pPr>
      <w:bookmarkStart w:id="11" w:name="_GoBack"/>
      <w:bookmarkEnd w:id="11"/>
    </w:p>
    <w:p>
      <w:pPr>
        <w:overflowPunct w:val="0"/>
        <w:spacing w:line="58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淄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财工〔</w:t>
      </w:r>
      <w:r>
        <w:rPr>
          <w:rFonts w:ascii="Times New Roman" w:hAnsi="Times New Roman" w:eastAsia="仿宋_GB2312" w:cs="Times New Roman"/>
          <w:color w:val="auto"/>
          <w:sz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sz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sz w:val="32"/>
        </w:rPr>
        <w:t>号</w:t>
      </w:r>
    </w:p>
    <w:p>
      <w:pPr>
        <w:overflowPunct w:val="0"/>
        <w:spacing w:line="580" w:lineRule="exact"/>
        <w:jc w:val="both"/>
        <w:rPr>
          <w:rFonts w:ascii="宋体" w:hAnsi="宋体" w:eastAsia="仿宋_GB2312"/>
          <w:color w:val="auto"/>
          <w:sz w:val="20"/>
        </w:rPr>
      </w:pPr>
    </w:p>
    <w:p>
      <w:pPr>
        <w:overflowPunct w:val="0"/>
        <w:spacing w:line="580" w:lineRule="exact"/>
        <w:jc w:val="center"/>
        <w:rPr>
          <w:rFonts w:hint="eastAsia" w:ascii="方正小标宋简体" w:eastAsia="方正小标宋简体"/>
          <w:bCs/>
          <w:color w:val="auto"/>
          <w:sz w:val="44"/>
        </w:rPr>
      </w:pPr>
    </w:p>
    <w:p>
      <w:pPr>
        <w:overflowPunct w:val="0"/>
        <w:spacing w:line="580" w:lineRule="exact"/>
        <w:jc w:val="center"/>
        <w:rPr>
          <w:rFonts w:hint="eastAsia" w:ascii="方正小标宋简体" w:eastAsia="方正小标宋简体"/>
          <w:bCs/>
          <w:color w:val="auto"/>
          <w:spacing w:val="11"/>
          <w:sz w:val="44"/>
        </w:rPr>
      </w:pPr>
      <w:r>
        <w:rPr>
          <w:rFonts w:hint="eastAsia" w:ascii="方正小标宋简体" w:eastAsia="方正小标宋简体"/>
          <w:bCs/>
          <w:color w:val="auto"/>
          <w:spacing w:val="11"/>
          <w:sz w:val="44"/>
          <w:lang w:eastAsia="zh-CN"/>
        </w:rPr>
        <w:t>淄博市财政局</w:t>
      </w:r>
      <w:r>
        <w:rPr>
          <w:rFonts w:hint="eastAsia" w:ascii="方正小标宋简体" w:eastAsia="方正小标宋简体"/>
          <w:bCs/>
          <w:color w:val="auto"/>
          <w:spacing w:val="11"/>
          <w:sz w:val="44"/>
          <w:lang w:val="en-US" w:eastAsia="zh-CN"/>
        </w:rPr>
        <w:t>等4部门</w:t>
      </w:r>
    </w:p>
    <w:p>
      <w:pPr>
        <w:overflowPunct w:val="0"/>
        <w:spacing w:line="580" w:lineRule="exact"/>
        <w:jc w:val="center"/>
        <w:rPr>
          <w:rFonts w:hint="eastAsia" w:ascii="方正小标宋简体" w:eastAsia="方正小标宋简体"/>
          <w:bCs/>
          <w:color w:val="auto"/>
          <w:spacing w:val="11"/>
          <w:sz w:val="44"/>
          <w:lang w:val="en-US" w:eastAsia="zh-CN"/>
        </w:rPr>
      </w:pPr>
      <w:r>
        <w:rPr>
          <w:rFonts w:hint="eastAsia" w:ascii="方正小标宋简体" w:eastAsia="方正小标宋简体"/>
          <w:bCs/>
          <w:color w:val="auto"/>
          <w:spacing w:val="11"/>
          <w:sz w:val="44"/>
        </w:rPr>
        <w:t>关于印发</w:t>
      </w:r>
      <w:r>
        <w:rPr>
          <w:rFonts w:hint="eastAsia" w:ascii="方正小标宋简体" w:eastAsia="方正小标宋简体"/>
          <w:bCs/>
          <w:color w:val="auto"/>
          <w:spacing w:val="11"/>
          <w:sz w:val="44"/>
          <w:lang w:eastAsia="zh-CN"/>
        </w:rPr>
        <w:t>淄博市市级</w:t>
      </w:r>
      <w:r>
        <w:rPr>
          <w:rFonts w:hint="eastAsia" w:ascii="方正小标宋简体" w:eastAsia="方正小标宋简体"/>
          <w:bCs/>
          <w:color w:val="auto"/>
          <w:spacing w:val="11"/>
          <w:sz w:val="44"/>
          <w:lang w:val="en-US" w:eastAsia="zh-CN"/>
        </w:rPr>
        <w:t>商贸发展和市场开拓及</w:t>
      </w:r>
    </w:p>
    <w:p>
      <w:pPr>
        <w:overflowPunct w:val="0"/>
        <w:spacing w:line="580" w:lineRule="exact"/>
        <w:jc w:val="center"/>
        <w:rPr>
          <w:rFonts w:hint="eastAsia" w:ascii="方正小标宋简体" w:eastAsia="方正小标宋简体"/>
          <w:bCs/>
          <w:color w:val="auto"/>
          <w:spacing w:val="11"/>
          <w:sz w:val="44"/>
        </w:rPr>
      </w:pPr>
      <w:r>
        <w:rPr>
          <w:rFonts w:hint="eastAsia" w:ascii="方正小标宋简体" w:eastAsia="方正小标宋简体"/>
          <w:bCs/>
          <w:color w:val="auto"/>
          <w:spacing w:val="11"/>
          <w:sz w:val="44"/>
          <w:lang w:val="en-US" w:eastAsia="zh-CN"/>
        </w:rPr>
        <w:t>招商引资资金管理暂行办法的通知</w:t>
      </w:r>
    </w:p>
    <w:p>
      <w:pPr>
        <w:overflowPunct w:val="0"/>
        <w:spacing w:line="580" w:lineRule="exact"/>
        <w:jc w:val="center"/>
        <w:rPr>
          <w:rFonts w:hint="eastAsia" w:ascii="宋体" w:hAnsi="宋体"/>
          <w:color w:val="auto"/>
          <w:sz w:val="32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w w:val="10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w w:val="100"/>
          <w:sz w:val="32"/>
          <w:szCs w:val="32"/>
          <w:shd w:val="clear" w:color="auto" w:fill="auto"/>
          <w:lang w:val="en-US" w:eastAsia="zh-CN"/>
        </w:rPr>
        <w:t>各区县财政局</w:t>
      </w:r>
      <w:r>
        <w:rPr>
          <w:rFonts w:hint="eastAsia" w:ascii="Times New Roman" w:hAnsi="Times New Roman" w:eastAsia="仿宋_GB2312" w:cs="Times New Roman"/>
          <w:color w:val="auto"/>
          <w:spacing w:val="-6"/>
          <w:w w:val="100"/>
          <w:sz w:val="32"/>
          <w:szCs w:val="32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w w:val="100"/>
          <w:sz w:val="32"/>
          <w:szCs w:val="32"/>
          <w:shd w:val="clear" w:color="auto" w:fill="auto"/>
          <w:lang w:val="en-US" w:eastAsia="zh-CN"/>
        </w:rPr>
        <w:t>高新区</w:t>
      </w:r>
      <w:r>
        <w:rPr>
          <w:rFonts w:hint="eastAsia" w:ascii="Times New Roman" w:hAnsi="Times New Roman" w:eastAsia="仿宋_GB2312" w:cs="Times New Roman"/>
          <w:color w:val="auto"/>
          <w:spacing w:val="-6"/>
          <w:w w:val="100"/>
          <w:sz w:val="32"/>
          <w:szCs w:val="32"/>
          <w:shd w:val="clear" w:color="auto" w:fill="auto"/>
          <w:lang w:val="en-US" w:eastAsia="zh-CN"/>
        </w:rPr>
        <w:t>财政金融局，经济开发</w:t>
      </w:r>
      <w:r>
        <w:rPr>
          <w:rFonts w:hint="default" w:ascii="Times New Roman" w:hAnsi="Times New Roman" w:eastAsia="仿宋_GB2312" w:cs="Times New Roman"/>
          <w:color w:val="auto"/>
          <w:spacing w:val="-6"/>
          <w:w w:val="100"/>
          <w:sz w:val="32"/>
          <w:szCs w:val="32"/>
          <w:shd w:val="clear" w:color="auto" w:fill="auto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color w:val="auto"/>
          <w:spacing w:val="-6"/>
          <w:w w:val="100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-6"/>
          <w:w w:val="100"/>
          <w:sz w:val="32"/>
          <w:szCs w:val="32"/>
          <w:shd w:val="clear" w:color="auto" w:fill="auto"/>
          <w:lang w:val="en-US" w:eastAsia="zh-CN"/>
        </w:rPr>
        <w:t>文昌湖区财政局</w:t>
      </w:r>
      <w:r>
        <w:rPr>
          <w:rFonts w:hint="eastAsia" w:ascii="Times New Roman" w:hAnsi="Times New Roman" w:eastAsia="仿宋_GB2312" w:cs="Times New Roman"/>
          <w:color w:val="auto"/>
          <w:spacing w:val="-6"/>
          <w:w w:val="100"/>
          <w:sz w:val="32"/>
          <w:szCs w:val="32"/>
          <w:shd w:val="clear" w:color="auto" w:fill="auto"/>
          <w:lang w:val="en-US" w:eastAsia="zh-CN"/>
        </w:rPr>
        <w:t>，各区县</w:t>
      </w:r>
      <w:r>
        <w:rPr>
          <w:rFonts w:hint="eastAsia" w:eastAsia="仿宋_GB2312" w:cs="Times New Roman"/>
          <w:color w:val="auto"/>
          <w:spacing w:val="-6"/>
          <w:w w:val="100"/>
          <w:sz w:val="32"/>
          <w:szCs w:val="32"/>
          <w:shd w:val="clear" w:color="auto" w:fill="auto"/>
          <w:lang w:val="en-US" w:eastAsia="zh-CN"/>
        </w:rPr>
        <w:t>商务局、投资促进局</w:t>
      </w:r>
      <w:r>
        <w:rPr>
          <w:rFonts w:hint="eastAsia" w:ascii="Times New Roman" w:hAnsi="Times New Roman" w:eastAsia="仿宋_GB2312" w:cs="Times New Roman"/>
          <w:color w:val="auto"/>
          <w:spacing w:val="-6"/>
          <w:w w:val="100"/>
          <w:sz w:val="32"/>
          <w:szCs w:val="32"/>
          <w:shd w:val="clear" w:color="auto" w:fill="auto"/>
          <w:lang w:val="en-US" w:eastAsia="zh-CN"/>
        </w:rPr>
        <w:t>：</w:t>
      </w:r>
    </w:p>
    <w:p>
      <w:pPr>
        <w:overflowPunct w:val="0"/>
        <w:spacing w:line="580" w:lineRule="exact"/>
        <w:rPr>
          <w:rFonts w:ascii="仿宋_GB2312" w:hAnsi="宋体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为规范专项资金管理，提高资金使用效益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，我们研究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>修订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了</w:t>
      </w:r>
      <w:r>
        <w:rPr>
          <w:rFonts w:hint="eastAsia" w:ascii="仿宋_GB2312" w:eastAsia="仿宋_GB2312"/>
          <w:color w:val="auto"/>
          <w:sz w:val="32"/>
          <w:szCs w:val="32"/>
        </w:rPr>
        <w:t>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淄博市市级</w:t>
      </w:r>
      <w:r>
        <w:rPr>
          <w:rFonts w:hint="eastAsia" w:ascii="仿宋_GB2312" w:hAnsi="宋体" w:eastAsia="仿宋_GB2312"/>
          <w:color w:val="auto"/>
          <w:sz w:val="32"/>
        </w:rPr>
        <w:t>市场</w:t>
      </w:r>
      <w:r>
        <w:rPr>
          <w:rFonts w:hint="eastAsia" w:ascii="仿宋_GB2312" w:hAnsi="宋体" w:eastAsia="仿宋_GB2312"/>
          <w:color w:val="auto"/>
          <w:sz w:val="32"/>
          <w:lang w:val="en-US" w:eastAsia="zh-CN"/>
        </w:rPr>
        <w:t>商贸发展和市场开拓及招商引资</w:t>
      </w:r>
      <w:r>
        <w:rPr>
          <w:rFonts w:hint="eastAsia" w:ascii="仿宋_GB2312" w:hAnsi="宋体" w:eastAsia="仿宋_GB2312"/>
          <w:color w:val="auto"/>
          <w:sz w:val="32"/>
        </w:rPr>
        <w:t>资金管理</w:t>
      </w:r>
      <w:r>
        <w:rPr>
          <w:rFonts w:hint="eastAsia" w:ascii="仿宋_GB2312" w:hAnsi="宋体" w:eastAsia="仿宋_GB2312"/>
          <w:color w:val="auto"/>
          <w:sz w:val="32"/>
          <w:lang w:val="en-US" w:eastAsia="zh-CN"/>
        </w:rPr>
        <w:t>暂行</w:t>
      </w:r>
      <w:r>
        <w:rPr>
          <w:rFonts w:hint="eastAsia" w:ascii="仿宋_GB2312" w:hAnsi="宋体" w:eastAsia="仿宋_GB2312"/>
          <w:color w:val="auto"/>
          <w:sz w:val="32"/>
        </w:rPr>
        <w:t>办法》，现予印发，请遵照执行。</w:t>
      </w:r>
    </w:p>
    <w:p>
      <w:pPr>
        <w:overflowPunct w:val="0"/>
        <w:spacing w:line="580" w:lineRule="exact"/>
        <w:rPr>
          <w:rFonts w:hint="eastAsia" w:ascii="仿宋_GB2312" w:eastAsia="仿宋_GB2312"/>
          <w:color w:val="auto"/>
          <w:sz w:val="32"/>
        </w:rPr>
      </w:pPr>
    </w:p>
    <w:p>
      <w:pPr>
        <w:overflowPunct w:val="0"/>
        <w:spacing w:line="580" w:lineRule="exact"/>
        <w:rPr>
          <w:rFonts w:hint="eastAsia" w:ascii="仿宋_GB2312" w:eastAsia="仿宋_GB2312"/>
          <w:color w:val="auto"/>
          <w:sz w:val="32"/>
          <w:lang w:eastAsia="zh-CN"/>
        </w:rPr>
      </w:pPr>
    </w:p>
    <w:p>
      <w:pPr>
        <w:overflowPunct w:val="0"/>
        <w:spacing w:line="580" w:lineRule="exact"/>
        <w:ind w:firstLine="640" w:firstLineChars="200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lang w:eastAsia="zh-CN"/>
        </w:rPr>
        <w:t>淄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lang w:eastAsia="zh-CN"/>
        </w:rPr>
        <w:t>博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lang w:eastAsia="zh-CN"/>
        </w:rPr>
        <w:t>市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lang w:eastAsia="zh-CN"/>
        </w:rPr>
        <w:t>财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lang w:eastAsia="zh-CN"/>
        </w:rPr>
        <w:t>政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lang w:eastAsia="zh-CN"/>
        </w:rPr>
        <w:t>局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</w:rPr>
        <w:t xml:space="preserve">        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lang w:eastAsia="zh-CN"/>
        </w:rPr>
        <w:t>淄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lang w:eastAsia="zh-CN"/>
        </w:rPr>
        <w:t>博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lang w:eastAsia="zh-CN"/>
        </w:rPr>
        <w:t>市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商 务 </w:t>
      </w:r>
      <w:r>
        <w:rPr>
          <w:rFonts w:hint="eastAsia" w:ascii="仿宋_GB2312" w:eastAsia="仿宋_GB2312"/>
          <w:color w:val="auto"/>
          <w:sz w:val="32"/>
        </w:rPr>
        <w:t xml:space="preserve">局 </w:t>
      </w:r>
    </w:p>
    <w:p>
      <w:pPr>
        <w:overflowPunct w:val="0"/>
        <w:spacing w:line="580" w:lineRule="exact"/>
        <w:ind w:firstLine="960" w:firstLineChars="300"/>
        <w:rPr>
          <w:rFonts w:hint="eastAsia" w:ascii="仿宋_GB2312" w:eastAsia="仿宋_GB2312"/>
          <w:color w:val="auto"/>
          <w:sz w:val="32"/>
        </w:rPr>
      </w:pPr>
    </w:p>
    <w:p>
      <w:pPr>
        <w:overflowPunct w:val="0"/>
        <w:spacing w:line="580" w:lineRule="exact"/>
        <w:ind w:firstLine="960" w:firstLineChars="300"/>
        <w:rPr>
          <w:rFonts w:hint="eastAsia" w:ascii="仿宋_GB2312" w:eastAsia="仿宋_GB2312"/>
          <w:color w:val="auto"/>
          <w:sz w:val="32"/>
        </w:rPr>
      </w:pPr>
    </w:p>
    <w:p>
      <w:pPr>
        <w:overflowPunct w:val="0"/>
        <w:spacing w:line="580" w:lineRule="exact"/>
        <w:ind w:firstLine="640" w:firstLineChars="200"/>
        <w:rPr>
          <w:rFonts w:hint="default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淄博市投资促进局          中国国际贸易促进委员会</w:t>
      </w:r>
    </w:p>
    <w:p>
      <w:pPr>
        <w:overflowPunct w:val="0"/>
        <w:spacing w:line="580" w:lineRule="exact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                                  淄博市委员会</w:t>
      </w:r>
    </w:p>
    <w:p>
      <w:pPr>
        <w:wordWrap w:val="0"/>
        <w:overflowPunct w:val="0"/>
        <w:spacing w:line="580" w:lineRule="exact"/>
        <w:jc w:val="center"/>
        <w:rPr>
          <w:rFonts w:hint="default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年</w:t>
      </w:r>
      <w:r>
        <w:rPr>
          <w:rFonts w:hint="eastAsia" w:eastAsia="仿宋_GB2312" w:cs="Times New Roman"/>
          <w:color w:val="auto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月</w:t>
      </w:r>
      <w:r>
        <w:rPr>
          <w:rFonts w:hint="eastAsia" w:eastAsia="仿宋_GB2312" w:cs="Times New Roman"/>
          <w:color w:val="auto"/>
          <w:sz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 </w:t>
      </w:r>
    </w:p>
    <w:p>
      <w:pPr>
        <w:overflowPunct w:val="0"/>
        <w:adjustRightInd w:val="0"/>
        <w:snapToGrid w:val="0"/>
        <w:spacing w:line="580" w:lineRule="exact"/>
        <w:jc w:val="center"/>
        <w:outlineLvl w:val="0"/>
        <w:rPr>
          <w:rFonts w:hint="eastAsia" w:ascii="方正小标宋简体" w:hAnsi="黑体" w:eastAsia="方正小标宋简体"/>
          <w:bCs/>
          <w:color w:val="auto"/>
          <w:sz w:val="44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1984" w:right="1418" w:bottom="1361" w:left="1474" w:header="851" w:footer="1361" w:gutter="0"/>
          <w:pgNumType w:fmt="decimal"/>
          <w:cols w:space="720" w:num="1"/>
          <w:docGrid w:linePitch="312" w:charSpace="0"/>
        </w:sectPr>
      </w:pPr>
    </w:p>
    <w:p>
      <w:pPr>
        <w:overflowPunct w:val="0"/>
        <w:adjustRightInd w:val="0"/>
        <w:snapToGrid w:val="0"/>
        <w:spacing w:line="580" w:lineRule="exact"/>
        <w:jc w:val="center"/>
        <w:outlineLvl w:val="0"/>
        <w:rPr>
          <w:rFonts w:hint="eastAsia" w:ascii="方正小标宋简体" w:hAnsi="黑体" w:eastAsia="方正小标宋简体"/>
          <w:bCs/>
          <w:color w:val="auto"/>
          <w:sz w:val="44"/>
          <w:szCs w:val="32"/>
          <w:lang w:eastAsia="zh-CN"/>
        </w:rPr>
      </w:pPr>
    </w:p>
    <w:p>
      <w:pPr>
        <w:overflowPunct w:val="0"/>
        <w:adjustRightInd w:val="0"/>
        <w:snapToGrid w:val="0"/>
        <w:spacing w:line="580" w:lineRule="exact"/>
        <w:jc w:val="center"/>
        <w:outlineLvl w:val="0"/>
        <w:rPr>
          <w:rFonts w:hint="eastAsia" w:ascii="方正小标宋简体" w:hAnsi="黑体" w:eastAsia="方正小标宋简体"/>
          <w:bCs/>
          <w:color w:val="auto"/>
          <w:sz w:val="44"/>
          <w:szCs w:val="32"/>
          <w:lang w:val="en-US" w:eastAsia="zh-CN"/>
        </w:rPr>
      </w:pPr>
      <w:r>
        <w:rPr>
          <w:rFonts w:hint="eastAsia" w:ascii="方正小标宋简体" w:hAnsi="黑体" w:eastAsia="方正小标宋简体"/>
          <w:bCs/>
          <w:color w:val="auto"/>
          <w:sz w:val="44"/>
          <w:szCs w:val="32"/>
          <w:lang w:eastAsia="zh-CN"/>
        </w:rPr>
        <w:t>淄博市市级</w:t>
      </w:r>
      <w:r>
        <w:rPr>
          <w:rFonts w:hint="eastAsia" w:ascii="方正小标宋简体" w:hAnsi="黑体" w:eastAsia="方正小标宋简体"/>
          <w:bCs/>
          <w:color w:val="auto"/>
          <w:sz w:val="44"/>
          <w:szCs w:val="32"/>
          <w:lang w:val="en-US" w:eastAsia="zh-CN"/>
        </w:rPr>
        <w:t>商贸发展和市场开拓及</w:t>
      </w:r>
    </w:p>
    <w:p>
      <w:pPr>
        <w:overflowPunct w:val="0"/>
        <w:adjustRightInd w:val="0"/>
        <w:snapToGrid w:val="0"/>
        <w:spacing w:line="580" w:lineRule="exact"/>
        <w:jc w:val="center"/>
        <w:outlineLvl w:val="0"/>
        <w:rPr>
          <w:rFonts w:ascii="方正小标宋简体" w:hAnsi="黑体" w:eastAsia="方正小标宋简体"/>
          <w:bCs/>
          <w:color w:val="auto"/>
          <w:sz w:val="44"/>
          <w:szCs w:val="32"/>
        </w:rPr>
      </w:pPr>
      <w:r>
        <w:rPr>
          <w:rFonts w:hint="eastAsia" w:ascii="方正小标宋简体" w:hAnsi="黑体" w:eastAsia="方正小标宋简体"/>
          <w:bCs/>
          <w:color w:val="auto"/>
          <w:sz w:val="44"/>
          <w:szCs w:val="32"/>
          <w:lang w:val="en-US" w:eastAsia="zh-CN"/>
        </w:rPr>
        <w:t>招商引资</w:t>
      </w:r>
      <w:r>
        <w:rPr>
          <w:rFonts w:hint="eastAsia" w:ascii="方正小标宋简体" w:hAnsi="黑体" w:eastAsia="方正小标宋简体"/>
          <w:bCs/>
          <w:color w:val="auto"/>
          <w:sz w:val="44"/>
          <w:szCs w:val="32"/>
        </w:rPr>
        <w:t>资金管理</w:t>
      </w:r>
      <w:r>
        <w:rPr>
          <w:rFonts w:hint="eastAsia" w:ascii="方正小标宋简体" w:hAnsi="黑体" w:eastAsia="方正小标宋简体"/>
          <w:bCs/>
          <w:color w:val="auto"/>
          <w:sz w:val="44"/>
          <w:szCs w:val="32"/>
          <w:lang w:val="en-US" w:eastAsia="zh-CN"/>
        </w:rPr>
        <w:t>暂行</w:t>
      </w:r>
      <w:r>
        <w:rPr>
          <w:rFonts w:hint="eastAsia" w:ascii="方正小标宋简体" w:hAnsi="黑体" w:eastAsia="方正小标宋简体"/>
          <w:bCs/>
          <w:color w:val="auto"/>
          <w:sz w:val="44"/>
          <w:szCs w:val="32"/>
        </w:rPr>
        <w:t>办法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第一章　总  则</w:t>
      </w:r>
    </w:p>
    <w:p>
      <w:pPr>
        <w:overflowPunct w:val="0"/>
        <w:adjustRightInd w:val="0"/>
        <w:snapToGrid w:val="0"/>
        <w:spacing w:line="580" w:lineRule="exact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黑体" w:eastAsia="仿宋_GB2312" w:cs="Calibri"/>
          <w:color w:val="auto"/>
          <w:sz w:val="32"/>
          <w:szCs w:val="32"/>
        </w:rPr>
      </w:pPr>
      <w:r>
        <w:rPr>
          <w:rFonts w:hint="eastAsia" w:ascii="楷体_GB2312" w:hAnsi="黑体" w:eastAsia="楷体_GB2312" w:cs="黑体"/>
          <w:color w:val="auto"/>
          <w:sz w:val="32"/>
          <w:szCs w:val="32"/>
        </w:rPr>
        <w:t>第一条</w:t>
      </w:r>
      <w:r>
        <w:rPr>
          <w:rFonts w:hint="eastAsia" w:ascii="楷体_GB2312" w:hAnsi="黑体" w:eastAsia="楷体_GB2312" w:cs="仿宋_GB2312"/>
          <w:color w:val="auto"/>
          <w:sz w:val="32"/>
          <w:szCs w:val="32"/>
        </w:rPr>
        <w:t>　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为规范和加强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淄博市市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级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商贸发展和市场开拓资金及招商引资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资金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以下简称商贸发展资金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管理，提高资金使用效益，促进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商贸事业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高质量发展，根据《中华人民共和国预算法》《山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东省人民政府关于进一步深化预算管理制度改革的实施意见》（鲁政发〔2021〕19号）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《中共山东省委 山东省人民政府关于全面推进预算绩效管理的实施意见》（鲁发〔2019〕2 号）、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《关于贯彻落实省政府〈关于进一步深化预算管理制度改革的实施意见〉的工作方案》（淄财办发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《山东省财政厅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山东省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商务厅关于印发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山东省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省级商贸发展和市场开拓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资金管理办法的通知》（鲁财工〔202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号）等有关规定，结合我市实际，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修订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本办法。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589" w:lineRule="exact"/>
        <w:ind w:left="0" w:right="0" w:firstLine="680"/>
        <w:jc w:val="both"/>
      </w:pPr>
      <w:r>
        <w:rPr>
          <w:rFonts w:hint="eastAsia" w:ascii="楷体_GB2312" w:hAnsi="黑体" w:eastAsia="楷体_GB2312" w:cs="黑体"/>
          <w:color w:val="auto"/>
          <w:sz w:val="32"/>
          <w:szCs w:val="32"/>
        </w:rPr>
        <w:t>第二条　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u w:val="none"/>
          <w:shd w:val="clear"/>
        </w:rPr>
        <w:t>本办法所称商贸发展资金是指市级财政预算安排，用于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u w:val="none"/>
          <w:shd w:val="clear"/>
          <w:lang w:val="en-US" w:eastAsia="zh-CN"/>
        </w:rPr>
        <w:t>提升商贸流通水平、优化对外贸易结构、深化对外投资合作、加大招商引资力度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u w:val="none"/>
          <w:shd w:val="clear"/>
        </w:rPr>
        <w:t>等方面的资金。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黑体" w:eastAsia="仿宋_GB2312" w:cs="Calibri"/>
          <w:color w:val="auto"/>
          <w:sz w:val="32"/>
          <w:szCs w:val="32"/>
        </w:rPr>
      </w:pPr>
      <w:r>
        <w:rPr>
          <w:rFonts w:hint="eastAsia" w:ascii="楷体_GB2312" w:hAnsi="黑体" w:eastAsia="楷体_GB2312" w:cs="黑体"/>
          <w:color w:val="auto"/>
          <w:sz w:val="32"/>
          <w:szCs w:val="32"/>
        </w:rPr>
        <w:t>第三条　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商贸发展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资金的使用管理坚持</w:t>
      </w:r>
      <w:r>
        <w:rPr>
          <w:rFonts w:hint="eastAsia" w:ascii="仿宋_GB2312" w:hAnsi="仿宋" w:eastAsia="仿宋_GB2312" w:cs="文星简仿宋"/>
          <w:color w:val="auto"/>
          <w:sz w:val="32"/>
          <w:szCs w:val="32"/>
        </w:rPr>
        <w:t>“突出重点、择优扶持、公开透明、注重绩效”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的原则，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确保资金使用规范、安全和高效。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黑体" w:eastAsia="仿宋_GB2312" w:cs="Calibri"/>
          <w:color w:val="auto"/>
          <w:sz w:val="32"/>
          <w:szCs w:val="32"/>
        </w:rPr>
      </w:pPr>
      <w:r>
        <w:rPr>
          <w:rFonts w:hint="eastAsia" w:ascii="楷体_GB2312" w:hAnsi="黑体" w:eastAsia="楷体_GB2312" w:cs="黑体"/>
          <w:color w:val="auto"/>
          <w:sz w:val="32"/>
          <w:szCs w:val="32"/>
        </w:rPr>
        <w:t>第四条　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商贸发展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资金由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财政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和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商务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局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市投资促进局、中国国际贸易促进委员会淄博市委员会（以下简称“市业务主管部门”）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按照职责分工进行管理。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default" w:ascii="仿宋_GB2312" w:hAnsi="黑体" w:eastAsia="仿宋_GB2312" w:cs="Calibri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  <w:lang w:eastAsia="zh-CN"/>
        </w:rPr>
        <w:t>市财政局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负责组织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商贸发展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资金预算编制，对支出政策进行审核，牵头预算绩效管理，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下达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拨付资金等。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楷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业务主管部门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负责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商贸发展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资金预算编制和具体执行，</w:t>
      </w:r>
      <w:r>
        <w:rPr>
          <w:rFonts w:hint="eastAsia" w:ascii="仿宋_GB2312" w:hAnsi="楷体" w:eastAsia="仿宋_GB2312" w:cs="仿宋_GB2312"/>
          <w:color w:val="auto"/>
          <w:sz w:val="32"/>
          <w:szCs w:val="32"/>
        </w:rPr>
        <w:t>研究制定资金分配使用方案和任务清单，对支出进度、使用绩效以及专项资金安全性、规范性负责。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楷体" w:eastAsia="仿宋_GB2312" w:cs="Calibri"/>
          <w:color w:val="auto"/>
          <w:sz w:val="32"/>
          <w:szCs w:val="32"/>
        </w:rPr>
      </w:pPr>
      <w:r>
        <w:rPr>
          <w:rFonts w:hint="eastAsia" w:ascii="仿宋_GB2312" w:hAnsi="楷体" w:eastAsia="仿宋_GB2312" w:cs="Calibri"/>
          <w:color w:val="auto"/>
          <w:sz w:val="32"/>
          <w:szCs w:val="32"/>
          <w:lang w:val="en-US" w:eastAsia="zh-CN"/>
        </w:rPr>
        <w:t>各区（县）财政部门和业务主管部门要加强协调配合，及时、足额拨付下达的商贸发展资金，</w:t>
      </w:r>
      <w:r>
        <w:rPr>
          <w:rFonts w:hint="eastAsia" w:ascii="仿宋_GB2312" w:hAnsi="楷体" w:eastAsia="仿宋_GB2312" w:cs="Calibri"/>
          <w:color w:val="auto"/>
          <w:sz w:val="32"/>
          <w:szCs w:val="32"/>
          <w:lang w:eastAsia="zh-CN"/>
        </w:rPr>
        <w:t>对</w:t>
      </w:r>
      <w:r>
        <w:rPr>
          <w:rFonts w:hint="eastAsia" w:ascii="仿宋_GB2312" w:hAnsi="楷体" w:eastAsia="仿宋_GB2312" w:cs="Calibri"/>
          <w:color w:val="auto"/>
          <w:sz w:val="32"/>
          <w:szCs w:val="32"/>
        </w:rPr>
        <w:t>资金使用情况进行动态管理和跟踪问效，确保资金专款专用，提高资金使用效益。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楷体" w:eastAsia="仿宋_GB2312" w:cs="Calibri"/>
          <w:color w:val="auto"/>
          <w:sz w:val="32"/>
          <w:szCs w:val="32"/>
        </w:rPr>
      </w:pPr>
    </w:p>
    <w:p>
      <w:pPr>
        <w:overflowPunct w:val="0"/>
        <w:adjustRightInd w:val="0"/>
        <w:snapToGrid w:val="0"/>
        <w:spacing w:line="580" w:lineRule="exact"/>
        <w:jc w:val="center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第二章　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预算编制</w:t>
      </w:r>
    </w:p>
    <w:p>
      <w:pPr>
        <w:overflowPunct w:val="0"/>
        <w:adjustRightInd w:val="0"/>
        <w:snapToGrid w:val="0"/>
        <w:spacing w:line="580" w:lineRule="exact"/>
        <w:ind w:firstLine="64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黑体" w:eastAsia="仿宋_GB2312" w:cs="Calibri"/>
          <w:color w:val="auto"/>
          <w:sz w:val="32"/>
          <w:szCs w:val="32"/>
        </w:rPr>
      </w:pPr>
      <w:r>
        <w:rPr>
          <w:rFonts w:hint="eastAsia" w:ascii="楷体_GB2312" w:hAnsi="黑体" w:eastAsia="楷体_GB2312" w:cs="Calibri"/>
          <w:color w:val="auto"/>
          <w:kern w:val="0"/>
          <w:sz w:val="32"/>
          <w:szCs w:val="32"/>
        </w:rPr>
        <w:t>第五条　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商贸发展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资金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主要采取贷款贴息、综合奖补等支持方式，聚焦商贸发展、招商引资重点领域和工作任务，主要支持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以下几个方面：　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楷体_GB2312" w:hAnsi="黑体" w:eastAsia="楷体_GB2312" w:cs="黑体"/>
          <w:color w:val="auto"/>
          <w:sz w:val="32"/>
          <w:szCs w:val="32"/>
        </w:rPr>
      </w:pPr>
      <w:r>
        <w:rPr>
          <w:rFonts w:hint="eastAsia" w:ascii="楷体_GB2312" w:hAnsi="黑体" w:eastAsia="楷体_GB2312" w:cs="黑体"/>
          <w:color w:val="auto"/>
          <w:sz w:val="32"/>
          <w:szCs w:val="32"/>
        </w:rPr>
        <w:t>（一）</w:t>
      </w:r>
      <w:r>
        <w:rPr>
          <w:rFonts w:hint="eastAsia" w:ascii="楷体_GB2312" w:hAnsi="黑体" w:eastAsia="楷体_GB2312" w:cs="黑体"/>
          <w:color w:val="auto"/>
          <w:sz w:val="32"/>
          <w:szCs w:val="32"/>
          <w:lang w:val="en-US" w:eastAsia="zh-CN"/>
        </w:rPr>
        <w:t>商贸流通提质增效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积极开展促消费、惠民生、树品牌活动，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支持扩大内需，激发消费潜力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。</w:t>
      </w:r>
    </w:p>
    <w:p>
      <w:pPr>
        <w:numPr>
          <w:ilvl w:val="-1"/>
          <w:numId w:val="0"/>
        </w:num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加强商贸流通体系建设，支持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公益性商贸设施建设, 促进物流标准化、流通领域现代供应链、重要产品追溯体系建设，提升流通效率，降低物流成本。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推动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电子商务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高质量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发展，引进培育电商新业态新模式，发展新零售和新媒体电商，推动电商平台、电商园区等创新发展，提升我市网络品牌知名度和影响力，拉动新消费。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其他有利于促进我市商贸流通发展的事项。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外贸稳增长调结构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支持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国家部委和省、市组织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的重大境内外经贸合作洽谈会、展览会等招商招展和贸易促进活动。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bookmark10"/>
      <w:bookmarkEnd w:id="0"/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培育发展外贸新业态新模式，推动外贸转型升级，促进加工贸易和服务贸易加快发展，引导企业利用好出口信用保险政策工具，鼓励开拓多元化国际市场，支持企业开展国际贸易摩擦应对活动。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1" w:name="bookmark11"/>
      <w:bookmarkEnd w:id="1"/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鼓励扩大先进设备和技术、关键零部件、国内紧缺的资源性产品、促进消费升级的民生产品进口。支持企业利用好中国国际进口博览会等各类进口渠道和平台。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黑体" w:eastAsia="仿宋_GB2312" w:cs="Calibri"/>
          <w:color w:val="auto"/>
          <w:sz w:val="32"/>
          <w:szCs w:val="32"/>
        </w:rPr>
      </w:pPr>
      <w:bookmarkStart w:id="2" w:name="bookmark12"/>
      <w:bookmarkEnd w:id="2"/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其他有利于促进我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</w:rPr>
        <w:t>市外贸发展的事项。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default" w:ascii="楷体_GB2312" w:hAnsi="黑体" w:eastAsia="楷体_GB2312" w:cs="黑体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 w:cs="黑体"/>
          <w:color w:val="auto"/>
          <w:sz w:val="32"/>
          <w:szCs w:val="32"/>
        </w:rPr>
        <w:t>（</w:t>
      </w:r>
      <w:r>
        <w:rPr>
          <w:rFonts w:hint="eastAsia" w:ascii="楷体_GB2312" w:hAnsi="黑体" w:eastAsia="楷体_GB2312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黑体" w:eastAsia="楷体_GB2312" w:cs="黑体"/>
          <w:color w:val="auto"/>
          <w:sz w:val="32"/>
          <w:szCs w:val="32"/>
        </w:rPr>
        <w:t>）</w:t>
      </w:r>
      <w:r>
        <w:rPr>
          <w:rFonts w:hint="eastAsia" w:ascii="楷体_GB2312" w:hAnsi="黑体" w:eastAsia="楷体_GB2312" w:cs="黑体"/>
          <w:color w:val="auto"/>
          <w:sz w:val="32"/>
          <w:szCs w:val="32"/>
          <w:lang w:val="en-US" w:eastAsia="zh-CN"/>
        </w:rPr>
        <w:t>推进高质量招商引资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围绕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省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十强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产业、市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四强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产业和特色优势产业，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引进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重大产业内资项目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利用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外资项目。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3" w:name="bookmark15"/>
      <w:bookmarkEnd w:id="3"/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支持搭建高层次招商引资平台，开展高质量招商引资活动。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</w:pPr>
      <w:bookmarkStart w:id="4" w:name="bookmark16"/>
      <w:bookmarkEnd w:id="4"/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支持打造高层次开放合作平台，促进开发区特色产业园区、创新创业平台、双向投资促进平台等载体建设。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4. 支持全市统一组织的境内外招商考察等投资促进活动。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黑体" w:eastAsia="仿宋_GB2312" w:cs="Calibri"/>
          <w:color w:val="auto"/>
          <w:sz w:val="32"/>
          <w:szCs w:val="32"/>
        </w:rPr>
      </w:pPr>
      <w:bookmarkStart w:id="5" w:name="bookmark17"/>
      <w:bookmarkEnd w:id="5"/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其他有利于促进我市招商引资的事项。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default" w:ascii="楷体_GB2312" w:hAnsi="黑体" w:eastAsia="楷体_GB2312" w:cs="黑体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 w:cs="黑体"/>
          <w:color w:val="auto"/>
          <w:sz w:val="32"/>
          <w:szCs w:val="32"/>
        </w:rPr>
        <w:t>（</w:t>
      </w:r>
      <w:r>
        <w:rPr>
          <w:rFonts w:hint="eastAsia" w:ascii="楷体_GB2312" w:hAnsi="黑体" w:eastAsia="楷体_GB2312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楷体_GB2312" w:hAnsi="黑体" w:eastAsia="楷体_GB2312" w:cs="黑体"/>
          <w:color w:val="auto"/>
          <w:sz w:val="32"/>
          <w:szCs w:val="32"/>
        </w:rPr>
        <w:t>）</w:t>
      </w:r>
      <w:r>
        <w:rPr>
          <w:rFonts w:hint="eastAsia" w:ascii="楷体_GB2312" w:hAnsi="黑体" w:eastAsia="楷体_GB2312" w:cs="黑体"/>
          <w:color w:val="auto"/>
          <w:sz w:val="32"/>
          <w:szCs w:val="32"/>
          <w:lang w:val="en-US" w:eastAsia="zh-CN"/>
        </w:rPr>
        <w:t>促进对外投资合作</w:t>
      </w:r>
    </w:p>
    <w:p>
      <w:pPr>
        <w:pStyle w:val="14"/>
        <w:keepNext w:val="0"/>
        <w:keepLines w:val="0"/>
        <w:widowControl w:val="0"/>
        <w:numPr>
          <w:ilvl w:val="-1"/>
          <w:numId w:val="0"/>
        </w:numPr>
        <w:shd w:val="clear" w:color="auto" w:fill="auto"/>
        <w:tabs>
          <w:tab w:val="left" w:pos="1108"/>
        </w:tabs>
        <w:bidi w:val="0"/>
        <w:spacing w:before="0" w:after="0" w:line="593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u w:val="none"/>
          <w:shd w:val="clear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u w:val="none"/>
          <w:shd w:val="clear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u w:val="none"/>
          <w:shd w:val="clear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u w:val="none"/>
          <w:shd w:val="clear"/>
        </w:rPr>
        <w:t>引导有序开展境外投资，促进深化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u w:val="none"/>
          <w:shd w:val="clear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u w:val="none"/>
          <w:shd w:val="clear"/>
        </w:rPr>
        <w:t>一带一路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u w:val="none"/>
          <w:shd w:val="clear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u w:val="none"/>
          <w:shd w:val="clear"/>
        </w:rPr>
        <w:t>经贸合作，支持搭建走出去风险保障平台，推进境外经济贸易合作区建设。</w:t>
      </w:r>
    </w:p>
    <w:p>
      <w:pPr>
        <w:pStyle w:val="14"/>
        <w:keepNext w:val="0"/>
        <w:keepLines w:val="0"/>
        <w:widowControl w:val="0"/>
        <w:numPr>
          <w:ilvl w:val="-1"/>
          <w:numId w:val="0"/>
        </w:numPr>
        <w:shd w:val="clear" w:color="auto" w:fill="auto"/>
        <w:tabs>
          <w:tab w:val="left" w:pos="1108"/>
        </w:tabs>
        <w:bidi w:val="0"/>
        <w:spacing w:before="0" w:after="0" w:line="593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u w:val="none"/>
          <w:shd w:val="clear"/>
        </w:rPr>
      </w:pPr>
      <w:bookmarkStart w:id="6" w:name="bookmark20"/>
      <w:bookmarkEnd w:id="6"/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u w:val="none"/>
          <w:shd w:val="clear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u w:val="none"/>
          <w:shd w:val="clear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u w:val="none"/>
          <w:shd w:val="clear"/>
        </w:rPr>
        <w:t>支持对外承包工程提质增效，鼓励多种模式参与海外项目，带动装备、技术、标准、服务和劳务对外输出。</w:t>
      </w:r>
    </w:p>
    <w:p>
      <w:pPr>
        <w:pStyle w:val="14"/>
        <w:keepNext w:val="0"/>
        <w:keepLines w:val="0"/>
        <w:widowControl w:val="0"/>
        <w:numPr>
          <w:ilvl w:val="-1"/>
          <w:numId w:val="0"/>
        </w:numPr>
        <w:shd w:val="clear" w:color="auto" w:fill="auto"/>
        <w:tabs>
          <w:tab w:val="left" w:pos="1108"/>
        </w:tabs>
        <w:bidi w:val="0"/>
        <w:spacing w:before="0" w:after="0" w:line="593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u w:val="none"/>
          <w:shd w:val="clear"/>
        </w:rPr>
      </w:pPr>
      <w:bookmarkStart w:id="7" w:name="bookmark21"/>
      <w:bookmarkEnd w:id="7"/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u w:val="none"/>
          <w:shd w:val="clear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u w:val="none"/>
          <w:shd w:val="clear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u w:val="none"/>
          <w:shd w:val="clear"/>
        </w:rPr>
        <w:t>鼓励加强对外劳务合作，大力发展高端劳务，优化外派劳务结构。</w:t>
      </w:r>
    </w:p>
    <w:p>
      <w:pPr>
        <w:pStyle w:val="14"/>
        <w:keepNext w:val="0"/>
        <w:keepLines w:val="0"/>
        <w:widowControl w:val="0"/>
        <w:numPr>
          <w:ilvl w:val="-1"/>
          <w:numId w:val="0"/>
        </w:numPr>
        <w:shd w:val="clear" w:color="auto" w:fill="auto"/>
        <w:tabs>
          <w:tab w:val="left" w:pos="1108"/>
        </w:tabs>
        <w:bidi w:val="0"/>
        <w:spacing w:before="0" w:after="0" w:line="593" w:lineRule="exact"/>
        <w:ind w:left="0" w:right="0" w:firstLine="640" w:firstLineChars="200"/>
        <w:jc w:val="both"/>
        <w:rPr>
          <w:rFonts w:hint="eastAsia" w:ascii="仿宋_GB2312" w:hAnsi="黑体" w:eastAsia="仿宋_GB2312" w:cs="Calibri"/>
          <w:color w:val="auto"/>
          <w:u w:val="none"/>
          <w:shd w:val="clear"/>
        </w:rPr>
      </w:pPr>
      <w:bookmarkStart w:id="8" w:name="bookmark22"/>
      <w:bookmarkEnd w:id="8"/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u w:val="none"/>
          <w:shd w:val="clear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u w:val="none"/>
          <w:shd w:val="clear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u w:val="none"/>
          <w:shd w:val="clear"/>
        </w:rPr>
        <w:t>其他有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u w:val="none"/>
          <w:shd w:val="clear"/>
        </w:rPr>
        <w:t>利于促进我市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u w:val="none"/>
          <w:shd w:val="clear"/>
          <w:lang w:val="en-US" w:eastAsia="zh-CN"/>
        </w:rPr>
        <w:t>对外投资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u w:val="none"/>
          <w:shd w:val="clear"/>
        </w:rPr>
        <w:t>合作的事项。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仿宋_GB2312" w:hAnsi="黑体" w:eastAsia="楷体_GB2312" w:cs="Calibri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 w:cs="黑体"/>
          <w:color w:val="auto"/>
          <w:sz w:val="32"/>
          <w:szCs w:val="32"/>
        </w:rPr>
        <w:t>（</w:t>
      </w:r>
      <w:r>
        <w:rPr>
          <w:rFonts w:hint="eastAsia" w:ascii="楷体_GB2312" w:hAnsi="黑体" w:eastAsia="楷体_GB2312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楷体_GB2312" w:hAnsi="黑体" w:eastAsia="楷体_GB2312" w:cs="黑体"/>
          <w:color w:val="auto"/>
          <w:sz w:val="32"/>
          <w:szCs w:val="32"/>
        </w:rPr>
        <w:t>）</w:t>
      </w:r>
      <w:r>
        <w:rPr>
          <w:rFonts w:hint="eastAsia" w:ascii="楷体_GB2312" w:hAnsi="黑体" w:eastAsia="楷体_GB2312" w:cs="黑体"/>
          <w:color w:val="auto"/>
          <w:sz w:val="32"/>
          <w:szCs w:val="32"/>
          <w:lang w:val="en-US" w:eastAsia="zh-CN"/>
        </w:rPr>
        <w:t>市委、市政府确定的其他重点工作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60"/>
        <w:jc w:val="both"/>
      </w:pPr>
      <w:r>
        <w:rPr>
          <w:rFonts w:hint="eastAsia" w:ascii="楷体_GB2312" w:hAnsi="黑体" w:eastAsia="楷体_GB2312" w:cs="黑体"/>
          <w:color w:val="auto"/>
          <w:sz w:val="32"/>
          <w:szCs w:val="32"/>
        </w:rPr>
        <w:t>第六条</w:t>
      </w:r>
      <w:r>
        <w:rPr>
          <w:rFonts w:hint="eastAsia" w:ascii="楷体_GB2312" w:hAnsi="黑体" w:eastAsia="楷体_GB2312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</w:rPr>
        <w:t>市业务主管部门按照市级预算编制工作要求， 对照相关领域事业发展的重点工作，提前做好项目论证、评估和分年度资金需求测算、绩效目标设定等基础性工作，研究提出商贸发展资金中期财政规划和年度预算安排建议，制定资金绩效目标，向市财政局提报预算申请。要做实做细项目库，确保专项资金项目全部按规定列入项目库，并按轻重缓急排序，实现定期更新和滚动管理，未纳入项目库管理的项目原则上不安排预算。预算编制中，对市委市政府确定的重大改革、重要政策和重点项目支出 要应编尽编。</w:t>
      </w:r>
    </w:p>
    <w:p>
      <w:pPr>
        <w:overflowPunct w:val="0"/>
        <w:adjustRightInd w:val="0"/>
        <w:snapToGrid w:val="0"/>
        <w:spacing w:line="580" w:lineRule="exact"/>
        <w:ind w:firstLine="641"/>
        <w:rPr>
          <w:rFonts w:hint="eastAsia" w:ascii="仿宋_GB2312" w:hAnsi="楷体" w:eastAsia="仿宋_GB2312" w:cs="Calibri"/>
          <w:color w:val="auto"/>
          <w:sz w:val="32"/>
          <w:szCs w:val="32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市财政局</w:t>
      </w:r>
      <w:r>
        <w:rPr>
          <w:rFonts w:hint="eastAsia" w:ascii="仿宋_GB2312" w:hAnsi="黑体" w:eastAsia="仿宋_GB2312" w:cs="仿宋_GB2312"/>
          <w:color w:val="auto"/>
          <w:sz w:val="32"/>
          <w:szCs w:val="32"/>
        </w:rPr>
        <w:t>按照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预算编制要求和资金管理规定，</w:t>
      </w:r>
      <w:r>
        <w:rPr>
          <w:rFonts w:hint="eastAsia" w:ascii="仿宋_GB2312" w:hAnsi="黑体" w:eastAsia="仿宋_GB2312" w:cs="仿宋_GB2312"/>
          <w:color w:val="auto"/>
          <w:sz w:val="32"/>
          <w:szCs w:val="32"/>
        </w:rPr>
        <w:t>对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业务主管部门</w:t>
      </w:r>
      <w:r>
        <w:rPr>
          <w:rFonts w:hint="eastAsia" w:ascii="仿宋_GB2312" w:hAnsi="黑体" w:eastAsia="仿宋_GB2312" w:cs="仿宋_GB2312"/>
          <w:color w:val="auto"/>
          <w:sz w:val="32"/>
          <w:szCs w:val="32"/>
        </w:rPr>
        <w:t>提报的资金预算进行审核，综合考虑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val="en-US" w:eastAsia="zh-CN"/>
        </w:rPr>
        <w:t>支出政策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 w:cs="仿宋_GB2312"/>
          <w:color w:val="auto"/>
          <w:sz w:val="32"/>
          <w:szCs w:val="32"/>
        </w:rPr>
        <w:t>资金需求、财力可能、上年绩效等因素，研究提出年度预算安排意见，按程序报</w:t>
      </w:r>
      <w:r>
        <w:rPr>
          <w:rFonts w:hint="eastAsia" w:ascii="仿宋_GB2312" w:hAnsi="黑体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仿宋_GB2312"/>
          <w:color w:val="auto"/>
          <w:sz w:val="32"/>
          <w:szCs w:val="32"/>
        </w:rPr>
        <w:t>人大审议批准。</w:t>
      </w:r>
    </w:p>
    <w:p>
      <w:pPr>
        <w:numPr>
          <w:ilvl w:val="0"/>
          <w:numId w:val="1"/>
        </w:numPr>
        <w:overflowPunct w:val="0"/>
        <w:adjustRightInd w:val="0"/>
        <w:snapToGrid w:val="0"/>
        <w:spacing w:line="580" w:lineRule="exact"/>
        <w:ind w:firstLine="641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黑体" w:eastAsia="楷体_GB2312" w:cs="黑体"/>
          <w:color w:val="auto"/>
          <w:sz w:val="32"/>
          <w:szCs w:val="32"/>
        </w:rPr>
        <w:t>　</w:t>
      </w:r>
      <w:r>
        <w:rPr>
          <w:rFonts w:hint="eastAsia" w:ascii="仿宋_GB2312" w:hAnsi="黑体" w:eastAsia="仿宋_GB2312" w:cs="Calibri"/>
          <w:color w:val="auto"/>
          <w:sz w:val="32"/>
          <w:szCs w:val="32"/>
          <w:highlight w:val="none"/>
        </w:rPr>
        <w:t>按照“谁申请资金，谁编制目标”原则，</w:t>
      </w:r>
      <w:r>
        <w:rPr>
          <w:rFonts w:hint="eastAsia" w:ascii="仿宋_GB2312" w:hAnsi="黑体" w:eastAsia="仿宋_GB2312" w:cs="Calibri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黑体" w:eastAsia="仿宋_GB2312" w:cs="Calibri"/>
          <w:color w:val="auto"/>
          <w:sz w:val="32"/>
          <w:szCs w:val="32"/>
          <w:highlight w:val="none"/>
          <w:lang w:val="en-US" w:eastAsia="zh-CN"/>
        </w:rPr>
        <w:t>业务主管部门</w:t>
      </w:r>
      <w:r>
        <w:rPr>
          <w:rFonts w:hint="eastAsia" w:ascii="仿宋_GB2312" w:hAnsi="黑体" w:eastAsia="仿宋_GB2312" w:cs="Calibri"/>
          <w:color w:val="auto"/>
          <w:sz w:val="32"/>
          <w:szCs w:val="32"/>
          <w:highlight w:val="none"/>
        </w:rPr>
        <w:t>要健全绩效目标编报机制。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在编制专项资金任务清单时同步</w:t>
      </w:r>
      <w:r>
        <w:rPr>
          <w:rFonts w:hint="eastAsia" w:ascii="仿宋_GB2312" w:hAnsi="黑体" w:eastAsia="仿宋_GB2312" w:cs="Calibri"/>
          <w:color w:val="auto"/>
          <w:sz w:val="32"/>
          <w:szCs w:val="32"/>
          <w:highlight w:val="none"/>
        </w:rPr>
        <w:t>组织项目实施单位编制绩效目标，并进行审核。重点依据部门职责，结合中期财政规划和年度工作计划，从预</w:t>
      </w:r>
      <w:r>
        <w:rPr>
          <w:rFonts w:hint="eastAsia" w:ascii="仿宋_GB2312" w:hAnsi="黑体" w:eastAsia="仿宋_GB2312" w:cs="Calibri"/>
          <w:color w:val="auto"/>
          <w:sz w:val="32"/>
          <w:szCs w:val="32"/>
          <w:highlight w:val="none"/>
          <w:u w:val="none"/>
        </w:rPr>
        <w:t>期产出、</w:t>
      </w:r>
      <w:r>
        <w:rPr>
          <w:rFonts w:hint="eastAsia" w:ascii="仿宋_GB2312" w:hAnsi="黑体" w:eastAsia="仿宋_GB2312" w:cs="Calibri"/>
          <w:color w:val="auto"/>
          <w:sz w:val="32"/>
          <w:szCs w:val="32"/>
          <w:highlight w:val="none"/>
          <w:u w:val="none"/>
          <w:lang w:eastAsia="zh-CN"/>
        </w:rPr>
        <w:t>成本、</w:t>
      </w:r>
      <w:r>
        <w:rPr>
          <w:rFonts w:hint="eastAsia" w:ascii="仿宋_GB2312" w:hAnsi="黑体" w:eastAsia="仿宋_GB2312" w:cs="Calibri"/>
          <w:color w:val="auto"/>
          <w:sz w:val="32"/>
          <w:szCs w:val="32"/>
          <w:highlight w:val="none"/>
          <w:u w:val="none"/>
        </w:rPr>
        <w:t>预</w:t>
      </w:r>
      <w:r>
        <w:rPr>
          <w:rFonts w:hint="eastAsia" w:ascii="仿宋_GB2312" w:hAnsi="黑体" w:eastAsia="仿宋_GB2312" w:cs="Calibri"/>
          <w:color w:val="auto"/>
          <w:sz w:val="32"/>
          <w:szCs w:val="32"/>
          <w:highlight w:val="none"/>
        </w:rPr>
        <w:t>期效果和服务对象满意度等方面，合理确定</w:t>
      </w:r>
      <w:r>
        <w:rPr>
          <w:rFonts w:hint="eastAsia" w:ascii="仿宋_GB2312" w:hAnsi="黑体" w:eastAsia="仿宋_GB2312" w:cs="Calibri"/>
          <w:color w:val="auto"/>
          <w:sz w:val="32"/>
          <w:szCs w:val="32"/>
          <w:highlight w:val="none"/>
          <w:lang w:val="en-US" w:eastAsia="zh-CN"/>
        </w:rPr>
        <w:t>商贸发展</w:t>
      </w:r>
      <w:r>
        <w:rPr>
          <w:rFonts w:hint="eastAsia" w:ascii="仿宋_GB2312" w:hAnsi="黑体" w:eastAsia="仿宋_GB2312" w:cs="Calibri"/>
          <w:color w:val="auto"/>
          <w:sz w:val="32"/>
          <w:szCs w:val="32"/>
          <w:highlight w:val="none"/>
        </w:rPr>
        <w:t>资金整体绩效目标，设置绩效指标和标准，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确保可量化、可评估，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并将其作为预算申请和项目入库的前置条件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，实现定期更新和滚动管理。</w:t>
      </w:r>
    </w:p>
    <w:p>
      <w:pPr>
        <w:overflowPunct w:val="0"/>
        <w:adjustRightInd w:val="0"/>
        <w:snapToGrid w:val="0"/>
        <w:spacing w:line="580" w:lineRule="exact"/>
        <w:ind w:firstLine="641"/>
        <w:rPr>
          <w:rFonts w:hint="eastAsia" w:ascii="仿宋_GB2312" w:hAnsi="黑体" w:eastAsia="仿宋_GB2312" w:cs="Calibri"/>
          <w:color w:val="auto"/>
          <w:sz w:val="32"/>
          <w:szCs w:val="32"/>
        </w:rPr>
      </w:pPr>
      <w:r>
        <w:rPr>
          <w:rFonts w:hint="eastAsia" w:ascii="楷体_GB2312" w:hAnsi="黑体" w:eastAsia="楷体_GB2312" w:cs="黑体"/>
          <w:color w:val="auto"/>
          <w:sz w:val="32"/>
          <w:szCs w:val="32"/>
        </w:rPr>
        <w:t>第八条　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建立重大政策和项目事前绩效评估机制。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业务主管部门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申请通过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商贸发展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资金安排新增重大政策和项目支出预算时，应进行事前绩效评估，出具评估报告，重点对政策和项目预算设立必要性、投入经济性、绩效目标合理性、实施方案可行性、筹资合规性等进行论证评估。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市财政局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根据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业务主管部门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提报的预算申请、事前绩效评估报告等，对新增重大政策和项目预算进行审核，必要时可组织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开展财政事前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绩效评估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并将评估结果作为项目入库和安排预算的必要条件。未开展事前绩效评估和绩效评估结果差的政策和项目，不得列入中期财政规划和年度预算。</w:t>
      </w:r>
    </w:p>
    <w:p>
      <w:pPr>
        <w:overflowPunct w:val="0"/>
        <w:adjustRightInd w:val="0"/>
        <w:snapToGrid w:val="0"/>
        <w:spacing w:line="580" w:lineRule="exact"/>
        <w:ind w:firstLine="641"/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</w:pPr>
      <w:r>
        <w:rPr>
          <w:rFonts w:hint="eastAsia" w:ascii="楷体_GB2312" w:hAnsi="黑体" w:eastAsia="楷体_GB2312" w:cs="黑体"/>
          <w:color w:val="auto"/>
          <w:sz w:val="32"/>
          <w:szCs w:val="32"/>
        </w:rPr>
        <w:t>第九条　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商贸发展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资金实行任务清单管理，明确每项任务的具体支出事项、资金规模、绩效目标等内容。根据任务内容不同，将任务清单划分为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约束性任务和指导性任务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区（县）在完成约束性任务的前提下，可按规定统筹使用剩余资金，并将相关情况报市业务主管部门备案，由市业务主管部门汇总后报市财政局备案。</w:t>
      </w:r>
    </w:p>
    <w:p>
      <w:pPr>
        <w:overflowPunct w:val="0"/>
        <w:adjustRightInd w:val="0"/>
        <w:snapToGrid w:val="0"/>
        <w:spacing w:line="580" w:lineRule="exact"/>
        <w:ind w:firstLine="0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overflowPunct w:val="0"/>
        <w:adjustRightInd w:val="0"/>
        <w:snapToGrid w:val="0"/>
        <w:spacing w:line="580" w:lineRule="exact"/>
        <w:ind w:firstLine="0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第三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章　预算执行</w:t>
      </w:r>
    </w:p>
    <w:p>
      <w:pPr>
        <w:overflowPunct w:val="0"/>
        <w:adjustRightInd w:val="0"/>
        <w:snapToGrid w:val="0"/>
        <w:spacing w:line="580" w:lineRule="exact"/>
        <w:ind w:firstLine="0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hAnsi="黑体" w:eastAsia="楷体_GB2312" w:cs="Calibri"/>
          <w:color w:val="auto"/>
          <w:sz w:val="32"/>
          <w:szCs w:val="32"/>
        </w:rPr>
        <w:t>第十条</w:t>
      </w:r>
      <w:r>
        <w:rPr>
          <w:rFonts w:hint="eastAsia" w:ascii="楷体_GB2312" w:eastAsia="楷体_GB2312"/>
          <w:color w:val="auto"/>
          <w:sz w:val="32"/>
          <w:szCs w:val="32"/>
        </w:rPr>
        <w:t>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color w:val="auto"/>
          <w:sz w:val="32"/>
          <w:szCs w:val="32"/>
        </w:rPr>
        <w:t>级预算经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color w:val="auto"/>
          <w:sz w:val="32"/>
          <w:szCs w:val="32"/>
        </w:rPr>
        <w:t>人民代表大会审议批准后，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业主管部门</w:t>
      </w:r>
      <w:r>
        <w:rPr>
          <w:rFonts w:hint="eastAsia" w:ascii="仿宋_GB2312" w:eastAsia="仿宋_GB2312"/>
          <w:color w:val="auto"/>
          <w:sz w:val="32"/>
          <w:szCs w:val="32"/>
        </w:rPr>
        <w:t>应根据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商贸发展</w:t>
      </w:r>
      <w:r>
        <w:rPr>
          <w:rFonts w:hint="eastAsia" w:ascii="仿宋_GB2312" w:eastAsia="仿宋_GB2312"/>
          <w:color w:val="auto"/>
          <w:sz w:val="32"/>
          <w:szCs w:val="32"/>
        </w:rPr>
        <w:t>资金年度预算规模和任务清单，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研究制定资金分配方案，及时提报预算执行计划书，明确预算执行的</w:t>
      </w:r>
      <w:r>
        <w:rPr>
          <w:rFonts w:hint="eastAsia" w:ascii="仿宋_GB2312" w:eastAsia="仿宋_GB2312"/>
          <w:color w:val="auto"/>
          <w:sz w:val="32"/>
          <w:szCs w:val="32"/>
        </w:rPr>
        <w:t>时间节点和工作措施，并按规定时间报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市财政局</w:t>
      </w:r>
      <w:r>
        <w:rPr>
          <w:rFonts w:hint="eastAsia" w:ascii="仿宋_GB2312" w:eastAsia="仿宋_GB2312"/>
          <w:color w:val="auto"/>
          <w:sz w:val="32"/>
          <w:szCs w:val="32"/>
        </w:rPr>
        <w:t>备案。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楷体_GB2312" w:hAnsi="黑体" w:eastAsia="楷体_GB2312" w:cs="Calibri"/>
          <w:color w:val="auto"/>
          <w:sz w:val="32"/>
          <w:szCs w:val="32"/>
        </w:rPr>
      </w:pPr>
      <w:r>
        <w:rPr>
          <w:rFonts w:hint="eastAsia" w:ascii="楷体_GB2312" w:hAnsi="黑体" w:eastAsia="楷体_GB2312" w:cs="Calibri"/>
          <w:color w:val="auto"/>
          <w:sz w:val="32"/>
          <w:szCs w:val="32"/>
        </w:rPr>
        <w:t>第十一条　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商贸发展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资金采取因素法与项目法相结合的分配管理方式。其中，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本级支出的资金需纳入相关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级部门年度部门预算，按照预算管理有关规定批复下达。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业务主管部门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应按照“应放尽放”的原则，将资金主要采取因素法或项目法切块分配下达。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级确需保留审批权的项目，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业务主管部门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应从严控制，制定相关任务清单，报分管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领导同意后实施。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eastAsia" w:ascii="楷体_GB2312" w:hAnsi="黑体" w:eastAsia="楷体_GB2312" w:cs="Calibri"/>
          <w:color w:val="auto"/>
          <w:sz w:val="32"/>
          <w:szCs w:val="32"/>
          <w:lang w:val="en-US" w:eastAsia="zh-CN"/>
        </w:rPr>
        <w:t>第十二条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 xml:space="preserve"> 采取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</w:rPr>
        <w:t>项目法分配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  <w:lang w:val="en-US" w:eastAsia="zh-CN"/>
        </w:rPr>
        <w:t>资金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</w:rPr>
        <w:t>。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  <w:lang w:val="en-US" w:eastAsia="zh-CN"/>
        </w:rPr>
        <w:t>市级业务主管部门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</w:rPr>
        <w:t>主要采取竞争择优、以奖代补等方式遴选项目，确保项目安排合理合法，相关项目清单应在编制下一年度预算前确定。市业务主管部门在下达申报通知时，应明确下级主管部门会商或会签财政部门的具体方式。</w:t>
      </w:r>
    </w:p>
    <w:p>
      <w:pPr>
        <w:numPr>
          <w:ilvl w:val="-1"/>
          <w:numId w:val="0"/>
        </w:num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黑体" w:eastAsia="仿宋_GB2312" w:cs="Calibri"/>
          <w:color w:val="auto"/>
          <w:sz w:val="32"/>
          <w:szCs w:val="32"/>
        </w:rPr>
      </w:pP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  <w:lang w:val="en-US" w:eastAsia="zh-CN"/>
        </w:rPr>
        <w:t>采取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</w:rPr>
        <w:t>因素法分配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  <w:lang w:val="en-US" w:eastAsia="zh-CN"/>
        </w:rPr>
        <w:t>的资金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</w:rPr>
        <w:t>。市业务主管部门要依据资金管理办法和各区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  <w:lang w:val="en-US" w:eastAsia="zh-CN"/>
        </w:rPr>
        <w:t>(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</w:rPr>
        <w:t>县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  <w:lang w:val="en-US" w:eastAsia="zh-CN"/>
        </w:rPr>
        <w:t>)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</w:rPr>
        <w:t>进出口、利用外资、对外投资合作等业务情况、外贸企业数量、绩效评价结果等，科学遴选确定分配因素和权重，研究制定资金分配方案。</w:t>
      </w:r>
    </w:p>
    <w:p>
      <w:pPr>
        <w:numPr>
          <w:ilvl w:val="-1"/>
          <w:numId w:val="0"/>
        </w:num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</w:rPr>
        <w:t>招商引资激励类资金。按照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  <w:lang w:val="en-US" w:eastAsia="zh-CN"/>
        </w:rPr>
        <w:t>市级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sz w:val="32"/>
          <w:szCs w:val="32"/>
        </w:rPr>
        <w:t>相关政策予以兑现。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591" w:lineRule="exact"/>
        <w:ind w:left="0" w:right="0" w:firstLine="700"/>
        <w:jc w:val="both"/>
        <w:rPr>
          <w:rFonts w:hint="default" w:ascii="仿宋_GB2312" w:hAnsi="黑体" w:eastAsia="仿宋_GB2312" w:cs="Calibri"/>
          <w:color w:val="auto"/>
          <w:spacing w:val="0"/>
          <w:w w:val="100"/>
          <w:position w:val="0"/>
          <w:u w:val="none"/>
          <w:shd w:val="clear"/>
          <w:lang w:val="en-US" w:eastAsia="zh-CN"/>
        </w:rPr>
      </w:pPr>
      <w:r>
        <w:rPr>
          <w:rFonts w:hint="eastAsia" w:ascii="楷体_GB2312" w:hAnsi="黑体" w:eastAsia="楷体_GB2312" w:cs="Calibri"/>
          <w:color w:val="auto"/>
          <w:sz w:val="32"/>
          <w:szCs w:val="32"/>
        </w:rPr>
        <w:t>第十</w:t>
      </w:r>
      <w:r>
        <w:rPr>
          <w:rFonts w:hint="eastAsia" w:ascii="楷体_GB2312" w:hAnsi="黑体" w:eastAsia="楷体_GB2312" w:cs="Calibri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黑体" w:eastAsia="楷体_GB2312" w:cs="Calibri"/>
          <w:color w:val="auto"/>
          <w:sz w:val="32"/>
          <w:szCs w:val="32"/>
        </w:rPr>
        <w:t>条</w:t>
      </w:r>
      <w:r>
        <w:rPr>
          <w:rFonts w:hint="eastAsia" w:ascii="仿宋_GB2312" w:hAnsi="黑体" w:eastAsia="仿宋_GB2312" w:cs="Calibri"/>
          <w:color w:val="auto"/>
          <w:sz w:val="32"/>
          <w:szCs w:val="32"/>
          <w:u w:val="none"/>
          <w:shd w:val="clear"/>
        </w:rPr>
        <w:t>　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u w:val="none"/>
          <w:shd w:val="clear"/>
        </w:rPr>
        <w:t>商贸发展资金项目安排及资金分配方案，须按照“三重一大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u w:val="none"/>
          <w:shd w:val="clear"/>
          <w:lang w:eastAsia="zh-CN"/>
        </w:rPr>
        <w:t>”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u w:val="none"/>
          <w:shd w:val="clear"/>
        </w:rPr>
        <w:t>要求，由市业务主管部门党组（党委）会议集体研究同意后，在规定时限内以正式文件送达市财政局。大额资金分配和重要项目安排，应报分管市领导同意。市财政局按规定进行合规性审核，在法定时限内按照程序下达预算指标分配文件，同步下达专项资金任务清单和绩效目标或提出绩效目标编制要求。市财政局合规性审核的内容主要是</w:t>
      </w:r>
      <w:r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u w:val="none"/>
          <w:shd w:val="clear"/>
          <w:lang w:val="en-US" w:eastAsia="zh-CN"/>
        </w:rPr>
        <w:t>程序合法性、政策合规性、资金分配合理性及绩效目标规范性。资金支付应按照国库集中支付、政府采购、政府购买服务、财政制度与财经纪律等有关规定执行。市业务主管部门可根据需要，同步下达项目实施计划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黑体" w:eastAsia="仿宋_GB2312" w:cs="Calibri"/>
          <w:color w:val="auto"/>
          <w:spacing w:val="0"/>
          <w:w w:val="100"/>
          <w:position w:val="0"/>
          <w:u w:val="none"/>
          <w:shd w:val="clear"/>
        </w:rPr>
      </w:pPr>
      <w:r>
        <w:rPr>
          <w:rFonts w:hint="eastAsia" w:ascii="楷体_GB2312" w:hAnsi="黑体" w:eastAsia="楷体_GB2312" w:cs="Calibri"/>
          <w:color w:val="auto"/>
          <w:sz w:val="32"/>
          <w:szCs w:val="32"/>
        </w:rPr>
        <w:t>第十</w:t>
      </w:r>
      <w:r>
        <w:rPr>
          <w:rFonts w:hint="eastAsia" w:ascii="楷体_GB2312" w:hAnsi="黑体" w:eastAsia="楷体_GB2312" w:cs="Calibri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楷体_GB2312" w:hAnsi="黑体" w:eastAsia="楷体_GB2312" w:cs="Calibri"/>
          <w:color w:val="auto"/>
          <w:sz w:val="32"/>
          <w:szCs w:val="32"/>
        </w:rPr>
        <w:t>条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　除国家和省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、市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规定的共同财政事权外，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商贸发展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资金不得要求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区（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县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乡镇（街道）安排配套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资金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，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区（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县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不得将乡镇（街道）投入情况作为资金分配的前置条件。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楷体" w:eastAsia="仿宋_GB2312" w:cs="仿宋_GB2312"/>
          <w:color w:val="auto"/>
          <w:sz w:val="32"/>
          <w:szCs w:val="32"/>
        </w:rPr>
      </w:pPr>
      <w:r>
        <w:rPr>
          <w:rFonts w:hint="eastAsia" w:ascii="楷体_GB2312" w:hAnsi="黑体" w:eastAsia="楷体_GB2312" w:cs="Calibri"/>
          <w:color w:val="auto"/>
          <w:sz w:val="32"/>
          <w:szCs w:val="32"/>
        </w:rPr>
        <w:t>第十五条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　</w:t>
      </w:r>
      <w:r>
        <w:rPr>
          <w:rFonts w:hint="eastAsia" w:ascii="仿宋_GB2312" w:hAnsi="黑体" w:eastAsia="仿宋_GB2312" w:cs="Calibri"/>
          <w:color w:val="auto"/>
          <w:sz w:val="32"/>
          <w:szCs w:val="32"/>
          <w:u w:val="none"/>
          <w:shd w:val="clear" w:color="auto" w:fill="auto"/>
          <w:lang w:val="en-US" w:eastAsia="zh-CN"/>
        </w:rPr>
        <w:t>商贸发展</w:t>
      </w:r>
      <w:r>
        <w:rPr>
          <w:rFonts w:hint="eastAsia" w:ascii="仿宋_GB2312" w:hAnsi="黑体" w:eastAsia="仿宋_GB2312" w:cs="Calibri"/>
          <w:color w:val="auto"/>
          <w:sz w:val="32"/>
          <w:szCs w:val="32"/>
          <w:u w:val="none"/>
          <w:shd w:val="clear" w:color="auto" w:fill="auto"/>
        </w:rPr>
        <w:t>资金</w:t>
      </w:r>
      <w:r>
        <w:rPr>
          <w:rFonts w:hint="eastAsia" w:ascii="仿宋_GB2312" w:hAnsi="楷体" w:eastAsia="仿宋_GB2312" w:cs="仿宋_GB2312"/>
          <w:color w:val="auto"/>
          <w:sz w:val="32"/>
          <w:szCs w:val="32"/>
        </w:rPr>
        <w:t>预算一经确定</w:t>
      </w:r>
      <w:r>
        <w:rPr>
          <w:rFonts w:hint="eastAsia" w:ascii="仿宋_GB2312" w:hAnsi="楷体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 w:cs="仿宋_GB2312"/>
          <w:color w:val="auto"/>
          <w:sz w:val="32"/>
          <w:szCs w:val="32"/>
        </w:rPr>
        <w:t>各相关单位应尽快组织实施，加快预算支出进度，原则上应于当年形成支出，结转结余资金按照财政部门有关规定执行。</w:t>
      </w:r>
    </w:p>
    <w:p>
      <w:pPr>
        <w:overflowPunct w:val="0"/>
        <w:adjustRightInd w:val="0"/>
        <w:snapToGrid w:val="0"/>
        <w:spacing w:line="580" w:lineRule="exact"/>
        <w:ind w:firstLine="640"/>
        <w:jc w:val="left"/>
        <w:rPr>
          <w:rFonts w:hint="eastAsia" w:ascii="仿宋_GB2312" w:hAnsi="楷体" w:eastAsia="仿宋_GB2312" w:cs="Calibri"/>
          <w:color w:val="auto"/>
          <w:sz w:val="32"/>
          <w:szCs w:val="32"/>
        </w:rPr>
      </w:pP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章　监督管理</w:t>
      </w:r>
    </w:p>
    <w:p>
      <w:pPr>
        <w:overflowPunct w:val="0"/>
        <w:adjustRightInd w:val="0"/>
        <w:snapToGrid w:val="0"/>
        <w:spacing w:line="580" w:lineRule="exact"/>
        <w:ind w:firstLine="640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黑体" w:eastAsia="仿宋_GB2312" w:cs="Calibri"/>
          <w:color w:val="auto"/>
          <w:sz w:val="32"/>
          <w:szCs w:val="32"/>
        </w:rPr>
      </w:pPr>
      <w:r>
        <w:rPr>
          <w:rFonts w:hint="eastAsia" w:ascii="楷体_GB2312" w:hAnsi="黑体" w:eastAsia="楷体_GB2312" w:cs="Calibri"/>
          <w:color w:val="auto"/>
          <w:sz w:val="32"/>
          <w:szCs w:val="32"/>
        </w:rPr>
        <w:t>第十六条　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业务主管部门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要督促指导项目实施单位，严格按照资金管理以及财务管理有关规定使用资金，确保专款专用，不得挤占、挪用，不得任意改变资金用途和扩大使用范围，不得虚假列支，不得任意变更预算支出科目。年度执行中确需调整预算和绩效目标的，应当按照预算管理有关规定报批。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市财政局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建立健全预算执行动态监控机制，定期通报资金分配进度和本级预算支出进度。</w:t>
      </w:r>
    </w:p>
    <w:p>
      <w:pPr>
        <w:overflowPunct w:val="0"/>
        <w:snapToGrid w:val="0"/>
        <w:spacing w:line="580" w:lineRule="exact"/>
        <w:ind w:firstLine="640" w:firstLineChars="200"/>
        <w:rPr>
          <w:rFonts w:hint="eastAsia" w:ascii="仿宋_GB2312" w:hAnsi="文星简仿宋" w:eastAsia="仿宋_GB2312" w:cs="文星简仿宋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楷体_GB2312" w:hAnsi="黑体" w:eastAsia="楷体_GB2312" w:cs="Calibri"/>
          <w:color w:val="auto"/>
          <w:sz w:val="32"/>
          <w:szCs w:val="32"/>
          <w:highlight w:val="none"/>
        </w:rPr>
        <w:t>第</w:t>
      </w:r>
      <w:r>
        <w:rPr>
          <w:rFonts w:hint="eastAsia" w:ascii="楷体_GB2312" w:hAnsi="黑体" w:eastAsia="楷体_GB2312" w:cs="Calibri"/>
          <w:color w:val="auto"/>
          <w:sz w:val="32"/>
          <w:szCs w:val="32"/>
          <w:highlight w:val="none"/>
          <w:u w:val="none"/>
        </w:rPr>
        <w:t>十七条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highlight w:val="none"/>
          <w:u w:val="none"/>
        </w:rPr>
        <w:t>　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highlight w:val="none"/>
          <w:u w:val="none"/>
          <w:lang w:eastAsia="zh-CN"/>
        </w:rPr>
        <w:t>市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业务主管部门</w:t>
      </w:r>
      <w:r>
        <w:rPr>
          <w:rFonts w:hint="eastAsia" w:ascii="仿宋_GB2312" w:hAnsi="文星简仿宋" w:eastAsia="仿宋_GB2312" w:cs="文星简仿宋"/>
          <w:color w:val="auto"/>
          <w:kern w:val="0"/>
          <w:sz w:val="32"/>
          <w:szCs w:val="32"/>
          <w:highlight w:val="none"/>
          <w:u w:val="none"/>
          <w:lang w:bidi="ar"/>
        </w:rPr>
        <w:t>是绩效运行监控的责任主体，应对绩效目标实现程度和预算执行进度实行“双监控”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highlight w:val="none"/>
          <w:u w:val="none"/>
        </w:rPr>
        <w:t>，动态掌握政策和项目进展，以及资金使用和绩效目标完成情况，对监控发现的问题和绩效目标偏差，及时采取有针对性的措施予以纠正。</w:t>
      </w:r>
      <w:r>
        <w:rPr>
          <w:rFonts w:hint="eastAsia" w:ascii="仿宋_GB2312" w:hAnsi="文星简仿宋" w:eastAsia="仿宋_GB2312" w:cs="文星简仿宋"/>
          <w:color w:val="auto"/>
          <w:kern w:val="0"/>
          <w:sz w:val="32"/>
          <w:szCs w:val="32"/>
          <w:highlight w:val="none"/>
          <w:u w:val="none"/>
          <w:lang w:eastAsia="zh-CN" w:bidi="ar"/>
        </w:rPr>
        <w:t>市财政局</w:t>
      </w:r>
      <w:r>
        <w:rPr>
          <w:rFonts w:hint="eastAsia" w:ascii="仿宋_GB2312" w:hAnsi="文星简仿宋" w:eastAsia="仿宋_GB2312" w:cs="文星简仿宋"/>
          <w:color w:val="auto"/>
          <w:kern w:val="0"/>
          <w:sz w:val="32"/>
          <w:szCs w:val="32"/>
          <w:highlight w:val="none"/>
          <w:u w:val="none"/>
          <w:lang w:bidi="ar"/>
        </w:rPr>
        <w:t>根据管理需要开展</w:t>
      </w:r>
      <w:r>
        <w:rPr>
          <w:rFonts w:hint="eastAsia" w:ascii="仿宋_GB2312" w:hAnsi="文星简仿宋" w:eastAsia="仿宋_GB2312" w:cs="文星简仿宋"/>
          <w:color w:val="auto"/>
          <w:kern w:val="0"/>
          <w:sz w:val="32"/>
          <w:szCs w:val="32"/>
          <w:highlight w:val="none"/>
          <w:u w:val="none"/>
          <w:lang w:eastAsia="zh-CN" w:bidi="ar"/>
        </w:rPr>
        <w:t>财政</w:t>
      </w:r>
      <w:r>
        <w:rPr>
          <w:rFonts w:hint="eastAsia" w:ascii="仿宋_GB2312" w:hAnsi="文星简仿宋" w:eastAsia="仿宋_GB2312" w:cs="文星简仿宋"/>
          <w:color w:val="auto"/>
          <w:kern w:val="0"/>
          <w:sz w:val="32"/>
          <w:szCs w:val="32"/>
          <w:highlight w:val="none"/>
          <w:u w:val="none"/>
          <w:lang w:bidi="ar"/>
        </w:rPr>
        <w:t>重点监控，对发现资金使用中存在的问题和绩效目标执行中的偏差，</w:t>
      </w:r>
      <w:r>
        <w:rPr>
          <w:rFonts w:hint="eastAsia" w:ascii="仿宋_GB2312" w:hAnsi="文星简仿宋" w:eastAsia="仿宋_GB2312" w:cs="文星简仿宋"/>
          <w:color w:val="auto"/>
          <w:kern w:val="0"/>
          <w:sz w:val="32"/>
          <w:szCs w:val="32"/>
          <w:highlight w:val="none"/>
          <w:u w:val="none"/>
          <w:lang w:eastAsia="zh-CN" w:bidi="ar"/>
        </w:rPr>
        <w:t>督促部门单位</w:t>
      </w:r>
      <w:r>
        <w:rPr>
          <w:rFonts w:hint="eastAsia" w:ascii="仿宋_GB2312" w:hAnsi="文星简仿宋" w:eastAsia="仿宋_GB2312" w:cs="文星简仿宋"/>
          <w:color w:val="auto"/>
          <w:kern w:val="0"/>
          <w:sz w:val="32"/>
          <w:szCs w:val="32"/>
          <w:highlight w:val="none"/>
          <w:u w:val="none"/>
          <w:lang w:bidi="ar"/>
        </w:rPr>
        <w:t>及时进行整改，对问题严重的，暂缓、停止拨款或收回资金。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黑体" w:eastAsia="仿宋_GB2312" w:cs="Arial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黑体" w:eastAsia="楷体_GB2312" w:cs="Calibri"/>
          <w:color w:val="auto"/>
          <w:sz w:val="32"/>
          <w:szCs w:val="32"/>
          <w:highlight w:val="none"/>
        </w:rPr>
        <w:t>第十八条　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highlight w:val="none"/>
          <w:u w:val="none"/>
        </w:rPr>
        <w:t>年度预算执行完毕后，</w:t>
      </w:r>
      <w:r>
        <w:rPr>
          <w:rFonts w:hint="eastAsia" w:ascii="仿宋_GB2312" w:hAnsi="文星简仿宋" w:eastAsia="仿宋_GB2312" w:cs="文星简仿宋"/>
          <w:color w:val="auto"/>
          <w:kern w:val="0"/>
          <w:sz w:val="32"/>
          <w:szCs w:val="32"/>
          <w:highlight w:val="none"/>
          <w:u w:val="none"/>
          <w:lang w:eastAsia="zh-CN" w:bidi="ar"/>
        </w:rPr>
        <w:t>市</w:t>
      </w:r>
      <w:r>
        <w:rPr>
          <w:rFonts w:hint="eastAsia" w:ascii="仿宋_GB2312" w:hAnsi="文星简仿宋" w:eastAsia="仿宋_GB2312" w:cs="文星简仿宋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业务主管部门</w:t>
      </w:r>
      <w:r>
        <w:rPr>
          <w:rFonts w:hint="eastAsia" w:ascii="仿宋_GB2312" w:hAnsi="文星简仿宋" w:eastAsia="仿宋_GB2312" w:cs="文星简仿宋"/>
          <w:color w:val="auto"/>
          <w:kern w:val="0"/>
          <w:sz w:val="32"/>
          <w:szCs w:val="32"/>
          <w:highlight w:val="none"/>
          <w:u w:val="none"/>
          <w:lang w:bidi="ar"/>
        </w:rPr>
        <w:t>组织项目实施单位开展绩效自评，</w:t>
      </w:r>
      <w:r>
        <w:rPr>
          <w:rFonts w:hint="eastAsia" w:ascii="仿宋_GB2312" w:hAnsi="文星简仿宋" w:eastAsia="仿宋_GB2312" w:cs="文星简仿宋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将相关资料</w:t>
      </w:r>
      <w:r>
        <w:rPr>
          <w:rFonts w:hint="eastAsia" w:ascii="仿宋_GB2312" w:hAnsi="文星简仿宋" w:eastAsia="仿宋_GB2312" w:cs="文星简仿宋"/>
          <w:color w:val="auto"/>
          <w:kern w:val="0"/>
          <w:sz w:val="32"/>
          <w:szCs w:val="32"/>
          <w:highlight w:val="none"/>
          <w:u w:val="none"/>
          <w:lang w:bidi="ar"/>
        </w:rPr>
        <w:t>报</w:t>
      </w:r>
      <w:r>
        <w:rPr>
          <w:rFonts w:hint="eastAsia" w:ascii="仿宋_GB2312" w:hAnsi="文星简仿宋" w:eastAsia="仿宋_GB2312" w:cs="文星简仿宋"/>
          <w:color w:val="auto"/>
          <w:kern w:val="0"/>
          <w:sz w:val="32"/>
          <w:szCs w:val="32"/>
          <w:highlight w:val="none"/>
          <w:u w:val="none"/>
          <w:lang w:eastAsia="zh-CN" w:bidi="ar"/>
        </w:rPr>
        <w:t>市财政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highlight w:val="none"/>
          <w:u w:val="none"/>
          <w:lang w:eastAsia="zh-CN"/>
        </w:rPr>
        <w:t>局。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市财政局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highlight w:val="none"/>
          <w:u w:val="none"/>
        </w:rPr>
        <w:t>根据管理需要对自评情况进行抽查复核。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highlight w:val="none"/>
          <w:u w:val="none"/>
          <w:lang w:eastAsia="zh-CN"/>
        </w:rPr>
        <w:t>市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业务主管部门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highlight w:val="none"/>
          <w:u w:val="none"/>
        </w:rPr>
        <w:t>、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highlight w:val="none"/>
          <w:u w:val="none"/>
          <w:lang w:eastAsia="zh-CN"/>
        </w:rPr>
        <w:t>市财政局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highlight w:val="none"/>
          <w:u w:val="none"/>
        </w:rPr>
        <w:t>根据管理需要分别对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商贸发展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highlight w:val="none"/>
          <w:u w:val="none"/>
        </w:rPr>
        <w:t>资金进行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highlight w:val="none"/>
          <w:u w:val="none"/>
          <w:lang w:eastAsia="zh-CN"/>
        </w:rPr>
        <w:t>部门评价和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highlight w:val="none"/>
          <w:u w:val="none"/>
        </w:rPr>
        <w:t>重点评价。对绩效评价发现的问题，要及时进行整改，绩效评价结果作为以后年度资金安排和分配的重要依据。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</w:pPr>
      <w:r>
        <w:rPr>
          <w:rFonts w:hint="eastAsia" w:ascii="楷体_GB2312" w:hAnsi="黑体" w:eastAsia="楷体_GB2312" w:cs="Calibri"/>
          <w:color w:val="auto"/>
          <w:sz w:val="32"/>
          <w:szCs w:val="32"/>
        </w:rPr>
        <w:t>第十九条　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lang w:eastAsia="zh-CN"/>
        </w:rPr>
        <w:t>市财政局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lang w:val="en-US" w:eastAsia="zh-CN"/>
        </w:rPr>
        <w:t>业务主管部门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  <w:t>分别按照财政专项资金信息公开有关规定和“谁主管、谁负责、谁公开”的原则，建立健全专项资金信息公开机制，自觉接受社会监督。其中：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lang w:eastAsia="zh-CN"/>
        </w:rPr>
        <w:t>市财政局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  <w:t>主要负责公开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lang w:val="en-US" w:eastAsia="zh-CN"/>
        </w:rPr>
        <w:t>商贸发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  <w:t>资金管理办法、财政重点绩效评价结果等。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lang w:val="en-US" w:eastAsia="zh-CN"/>
        </w:rPr>
        <w:t>业务主管部门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  <w:t>主要负责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lang w:val="en-US" w:eastAsia="zh-CN"/>
        </w:rPr>
        <w:t>商贸发展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  <w:t>资金任务清单和具体支出政策、项目申报指南、资金分配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lang w:val="en-US" w:eastAsia="zh-CN"/>
        </w:rPr>
        <w:t>方式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  <w:t>和分配结果、相关绩效信息等。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</w:pPr>
      <w:r>
        <w:rPr>
          <w:rFonts w:hint="eastAsia" w:ascii="楷体_GB2312" w:hAnsi="黑体" w:eastAsia="楷体_GB2312" w:cs="Calibri"/>
          <w:color w:val="auto"/>
          <w:sz w:val="32"/>
          <w:szCs w:val="32"/>
        </w:rPr>
        <w:t>第二十条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  <w:t>　项目实施单位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lang w:val="en-US" w:eastAsia="zh-CN"/>
        </w:rPr>
        <w:t>对申报资料的真实性、准确性、完整性负责，对资金的合法合规使用，以及项目实施进度、实施效果承担直接主体责任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  <w:t>。对骗取、违反规定使用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lang w:val="en-US" w:eastAsia="zh-CN"/>
        </w:rPr>
        <w:t>商贸发展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  <w:t>资金的，按照《中华人民共和国预算法》《财政违法行为处罚处分条例》（国务院令第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427号）等有关规定处理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并纳入负面清单管理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；涉嫌犯罪的，移送司法机关依法追究刑事责任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  <w:t>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</w:pPr>
      <w:r>
        <w:rPr>
          <w:rFonts w:hint="eastAsia" w:ascii="楷体_GB2312" w:hAnsi="黑体" w:eastAsia="楷体_GB2312" w:cs="Calibri"/>
          <w:color w:val="auto"/>
          <w:sz w:val="32"/>
          <w:szCs w:val="32"/>
        </w:rPr>
        <w:t>第二十一条</w:t>
      </w:r>
      <w:r>
        <w:rPr>
          <w:rFonts w:hint="eastAsia" w:ascii="楷体_GB2312" w:hAnsi="黑体" w:eastAsia="楷体_GB2312" w:cs="Calibri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  <w:t>各级业务主管部门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  <w:lang w:val="en-US" w:eastAsia="zh-CN"/>
        </w:rPr>
        <w:t>应对商贸发展资金申报材料审核把关，对其合规性、完整性负责，并加强对实施项目的全程监督，保证项目顺利实施。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  <w:t>各级业务主管部门、财政部门要主动接受人大、纪检监察、审计等方面的监督。对在各项审计和监督检查中发现存在违规违纪问题的，按照《中华人民共和国预算法》《中华人民共和国公务员法》《财政违法行为处罚处分条例》（国务院令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427号</w:t>
      </w:r>
      <w:r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  <w:t>）等国家有关规定，追究相应责任；涉嫌犯罪的，移送司法机关处理。</w:t>
      </w:r>
    </w:p>
    <w:p>
      <w:pPr>
        <w:overflowPunct w:val="0"/>
        <w:adjustRightInd w:val="0"/>
        <w:snapToGrid w:val="0"/>
        <w:spacing w:line="580" w:lineRule="exact"/>
        <w:ind w:firstLine="640"/>
        <w:rPr>
          <w:rFonts w:hint="eastAsia" w:ascii="仿宋_GB2312" w:hAnsi="黑体" w:eastAsia="仿宋_GB2312" w:cs="Arial"/>
          <w:color w:val="auto"/>
          <w:kern w:val="0"/>
          <w:sz w:val="32"/>
          <w:szCs w:val="32"/>
        </w:rPr>
      </w:pP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第五章　附  则</w:t>
      </w:r>
    </w:p>
    <w:p>
      <w:pPr>
        <w:overflowPunct w:val="0"/>
        <w:adjustRightInd w:val="0"/>
        <w:snapToGrid w:val="0"/>
        <w:spacing w:line="580" w:lineRule="exact"/>
        <w:ind w:firstLine="640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黑体" w:eastAsia="仿宋_GB2312" w:cs="Calibri"/>
          <w:color w:val="auto"/>
          <w:sz w:val="32"/>
          <w:szCs w:val="32"/>
        </w:rPr>
      </w:pPr>
      <w:r>
        <w:rPr>
          <w:rFonts w:hint="eastAsia" w:ascii="楷体_GB2312" w:hAnsi="黑体" w:eastAsia="楷体_GB2312" w:cs="黑体"/>
          <w:color w:val="auto"/>
          <w:sz w:val="32"/>
          <w:szCs w:val="32"/>
        </w:rPr>
        <w:t>第二十二条　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业务主管部门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可根据本办法，结合工作需要牵头制定具体资金管理实施细则。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黑体" w:eastAsia="仿宋_GB2312" w:cs="Calibri"/>
          <w:color w:val="auto"/>
          <w:sz w:val="32"/>
          <w:szCs w:val="32"/>
        </w:rPr>
      </w:pPr>
      <w:r>
        <w:rPr>
          <w:rFonts w:hint="eastAsia" w:ascii="楷体_GB2312" w:hAnsi="黑体" w:eastAsia="楷体_GB2312" w:cs="黑体"/>
          <w:color w:val="auto"/>
          <w:sz w:val="32"/>
          <w:szCs w:val="32"/>
        </w:rPr>
        <w:t>第二十三条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　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本办法自发布之日起生效</w:t>
      </w:r>
      <w:r>
        <w:rPr>
          <w:rFonts w:hint="eastAsia" w:ascii="仿宋_GB2312" w:hAnsi="黑体" w:eastAsia="仿宋_GB2312" w:cs="Calibri"/>
          <w:color w:val="auto"/>
          <w:sz w:val="32"/>
          <w:szCs w:val="32"/>
        </w:rPr>
        <w:t>，有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效期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至2025年12月31日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此前《淄博市市级商贸发展和市场开拓资金管理办法》（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淄财工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）同时废止</w:t>
      </w:r>
      <w:r>
        <w:rPr>
          <w:rFonts w:hint="eastAsia" w:ascii="仿宋_GB2312" w:hAnsi="黑体" w:eastAsia="仿宋_GB2312" w:cs="Calibri"/>
          <w:color w:val="auto"/>
          <w:sz w:val="32"/>
          <w:szCs w:val="32"/>
          <w:lang w:val="en-US" w:eastAsia="zh-CN"/>
        </w:rPr>
        <w:t>。</w:t>
      </w:r>
    </w:p>
    <w:p>
      <w:pPr>
        <w:spacing w:line="600" w:lineRule="exact"/>
        <w:rPr>
          <w:rFonts w:hint="eastAsia" w:ascii="黑体" w:eastAsia="黑体"/>
          <w:color w:val="auto"/>
          <w:sz w:val="28"/>
          <w:szCs w:val="28"/>
        </w:rPr>
      </w:pPr>
    </w:p>
    <w:p>
      <w:pPr>
        <w:spacing w:line="600" w:lineRule="exact"/>
        <w:rPr>
          <w:rFonts w:hint="eastAsia" w:ascii="黑体" w:eastAsia="黑体"/>
          <w:color w:val="auto"/>
          <w:sz w:val="28"/>
          <w:szCs w:val="28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</w:p>
    <w:p>
      <w:pPr>
        <w:spacing w:line="600" w:lineRule="exact"/>
        <w:rPr>
          <w:rFonts w:hint="eastAsia" w:ascii="黑体" w:eastAsia="黑体"/>
          <w:color w:val="auto"/>
          <w:sz w:val="28"/>
          <w:szCs w:val="28"/>
        </w:rPr>
      </w:pPr>
    </w:p>
    <w:p>
      <w:pPr>
        <w:spacing w:line="600" w:lineRule="exact"/>
        <w:rPr>
          <w:rFonts w:hint="eastAsia" w:ascii="黑体" w:eastAsia="黑体"/>
          <w:color w:val="auto"/>
          <w:sz w:val="28"/>
          <w:szCs w:val="28"/>
        </w:rPr>
      </w:pPr>
    </w:p>
    <w:p>
      <w:pPr>
        <w:spacing w:line="600" w:lineRule="exact"/>
        <w:rPr>
          <w:rFonts w:hint="eastAsia" w:ascii="黑体" w:eastAsia="黑体"/>
          <w:color w:val="auto"/>
          <w:sz w:val="28"/>
          <w:szCs w:val="28"/>
        </w:rPr>
      </w:pPr>
    </w:p>
    <w:p>
      <w:pPr>
        <w:spacing w:line="600" w:lineRule="exact"/>
        <w:rPr>
          <w:rFonts w:hint="eastAsia" w:ascii="黑体" w:eastAsia="黑体"/>
          <w:color w:val="auto"/>
          <w:sz w:val="28"/>
          <w:szCs w:val="28"/>
        </w:rPr>
      </w:pPr>
    </w:p>
    <w:p>
      <w:pPr>
        <w:spacing w:line="600" w:lineRule="exact"/>
        <w:rPr>
          <w:rFonts w:hint="eastAsia" w:ascii="黑体" w:eastAsia="黑体"/>
          <w:color w:val="auto"/>
          <w:sz w:val="28"/>
          <w:szCs w:val="28"/>
        </w:rPr>
      </w:pPr>
    </w:p>
    <w:p>
      <w:pPr>
        <w:spacing w:line="600" w:lineRule="exact"/>
        <w:rPr>
          <w:rFonts w:hint="eastAsia" w:ascii="黑体" w:eastAsia="黑体"/>
          <w:color w:val="auto"/>
          <w:sz w:val="28"/>
          <w:szCs w:val="28"/>
        </w:rPr>
      </w:pPr>
    </w:p>
    <w:p>
      <w:pPr>
        <w:spacing w:line="600" w:lineRule="exact"/>
        <w:rPr>
          <w:rFonts w:hint="eastAsia" w:ascii="黑体" w:eastAsia="黑体"/>
          <w:color w:val="auto"/>
          <w:sz w:val="28"/>
          <w:szCs w:val="28"/>
        </w:rPr>
      </w:pPr>
    </w:p>
    <w:p>
      <w:pPr>
        <w:spacing w:line="600" w:lineRule="exact"/>
        <w:rPr>
          <w:rFonts w:hint="eastAsia" w:ascii="黑体" w:eastAsia="黑体"/>
          <w:color w:val="auto"/>
          <w:sz w:val="28"/>
          <w:szCs w:val="28"/>
        </w:rPr>
      </w:pPr>
    </w:p>
    <w:p>
      <w:pPr>
        <w:spacing w:line="600" w:lineRule="exact"/>
        <w:rPr>
          <w:rFonts w:hint="eastAsia" w:ascii="黑体" w:eastAsia="黑体"/>
          <w:color w:val="auto"/>
          <w:sz w:val="28"/>
          <w:szCs w:val="28"/>
        </w:rPr>
      </w:pPr>
    </w:p>
    <w:p>
      <w:pPr>
        <w:spacing w:line="600" w:lineRule="exact"/>
        <w:rPr>
          <w:rFonts w:hint="eastAsia" w:ascii="黑体" w:eastAsia="黑体"/>
          <w:color w:val="auto"/>
          <w:sz w:val="28"/>
          <w:szCs w:val="28"/>
        </w:rPr>
      </w:pPr>
    </w:p>
    <w:p>
      <w:pPr>
        <w:spacing w:line="600" w:lineRule="exac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</w:rPr>
        <w:t>信息公开选项</w:t>
      </w:r>
      <w:r>
        <w:rPr>
          <w:rFonts w:hint="eastAsia" w:ascii="仿宋_GB2312" w:eastAsia="仿宋_GB2312"/>
          <w:color w:val="auto"/>
          <w:sz w:val="28"/>
          <w:szCs w:val="28"/>
        </w:rPr>
        <w:t>:</w:t>
      </w:r>
      <w:r>
        <w:rPr>
          <w:rFonts w:hint="eastAsia" w:ascii="方正小标宋简体" w:eastAsia="方正小标宋简体"/>
          <w:color w:val="auto"/>
          <w:sz w:val="28"/>
          <w:szCs w:val="28"/>
        </w:rPr>
        <w:t xml:space="preserve"> </w:t>
      </w:r>
      <w:bookmarkStart w:id="9" w:name="OpenType"/>
      <w:r>
        <w:rPr>
          <w:rFonts w:hint="eastAsia" w:ascii="方正小标宋简体" w:eastAsia="方正小标宋简体"/>
          <w:color w:val="auto"/>
          <w:sz w:val="28"/>
          <w:szCs w:val="28"/>
        </w:rPr>
        <w:t>主动公开</w:t>
      </w:r>
      <w:bookmarkEnd w:id="9"/>
    </w:p>
    <w:p>
      <w:pPr>
        <w:spacing w:line="600" w:lineRule="exact"/>
        <w:ind w:firstLine="280" w:firstLineChars="100"/>
        <w:rPr>
          <w:rFonts w:hint="eastAsia"/>
          <w:color w:val="auto"/>
          <w:sz w:val="28"/>
          <w:szCs w:val="28"/>
        </w:rPr>
      </w:pPr>
      <w:bookmarkStart w:id="10" w:name="CopyTo"/>
      <w:bookmarkEnd w:id="10"/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5734050" cy="0"/>
                <wp:effectExtent l="0" t="0" r="0" b="0"/>
                <wp:wrapNone/>
                <wp:docPr id="2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0pt;margin-top:2.05pt;height:0pt;width:451.5pt;z-index:251661312;mso-width-relative:page;mso-height-relative:page;" filled="f" stroked="t" coordsize="21600,21600" o:gfxdata="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PVr/97TAAAABAEA&#10;AA8AAAAAAAAAAQAgAAAAOAAAAGRycy9kb3ducmV2LnhtbFBLAQIUABQAAAAIAIdO4kC0EfIH0AEA&#10;AJIDAAAOAAAAAAAAAAEAIAAAADgBAABkcnMvZTJvRG9jLnhtbFBLBQYAAAAABgAGAFkBAAB6BQAA&#10;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393700</wp:posOffset>
                </wp:positionV>
                <wp:extent cx="5734050" cy="0"/>
                <wp:effectExtent l="0" t="0" r="0" b="0"/>
                <wp:wrapNone/>
                <wp:docPr id="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0pt;margin-top:31pt;height:0pt;width:451.5pt;z-index:251660288;mso-width-relative:page;mso-height-relative:page;" filled="f" stroked="t" coordsize="21600,21600" o:gfxdata="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CsxbjG1QAAAAYB&#10;AAAPAAAAAAAAAAEAIAAAADgAAABkcnMvZG93bnJldi54bWxQSwECFAAUAAAACACHTuJA8TSI7M8B&#10;AACSAwAADgAAAAAAAAABACAAAAA6AQAAZHJzL2Uyb0RvYy54bWxQSwUGAAAAAAYABgBZAQAAewUA&#10;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淄博市财政局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办公室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日印发 </w:t>
      </w:r>
    </w:p>
    <w:sectPr>
      <w:footerReference r:id="rId5" w:type="default"/>
      <w:pgSz w:w="11906" w:h="16838"/>
      <w:pgMar w:top="1984" w:right="1418" w:bottom="1361" w:left="1474" w:header="851" w:footer="1361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简大标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文星简仿宋">
    <w:altName w:val="方正仿宋_GBK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171450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0" w:firstLineChars="0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3.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xHjedUAAAAHAQAADwAAAAAAAAABACAAAAA4AAAAZHJzL2Rvd25yZXYueG1sUEsB&#10;AhQAFAAAAAgAh07iQOIy4A4bAgAAKQQAAA4AAAAAAAAAAQAgAAAAO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0" w:firstLineChars="0"/>
                      <w:rPr>
                        <w:rFonts w:cs="Times New Roman"/>
                        <w:sz w:val="24"/>
                        <w:szCs w:val="24"/>
                      </w:rPr>
                    </w:pPr>
                    <w:r>
                      <w:rPr>
                        <w:rFonts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t>9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t>—</w:t>
                    </w:r>
                  </w:p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171450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0" w:firstLineChars="0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3.5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MR43nVAAAABwEAAA8AAAAAAAAAAQAgAAAAOAAAAGRycy9kb3ducmV2LnhtbFBL&#10;AQIUABQAAAAIAIdO4kAWwh4DHAIAACsEAAAOAAAAAAAAAAEAIAAAADo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0" w:firstLineChars="0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rFonts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t>9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>—</w:t>
                    </w:r>
                  </w:p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7FC30"/>
    <w:multiLevelType w:val="singleLevel"/>
    <w:tmpl w:val="61A7FC30"/>
    <w:lvl w:ilvl="0" w:tentative="0">
      <w:start w:val="7"/>
      <w:numFmt w:val="chineseCounting"/>
      <w:suff w:val="nothing"/>
      <w:lvlText w:val="第%1条"/>
      <w:lvlJc w:val="left"/>
      <w:rPr>
        <w:rFonts w:hint="eastAsia" w:ascii="楷体_GB2312" w:eastAsia="楷体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1E"/>
    <w:rsid w:val="00074071"/>
    <w:rsid w:val="000C05C5"/>
    <w:rsid w:val="00123986"/>
    <w:rsid w:val="001A2DC6"/>
    <w:rsid w:val="001D223C"/>
    <w:rsid w:val="001F5932"/>
    <w:rsid w:val="002765B1"/>
    <w:rsid w:val="00286613"/>
    <w:rsid w:val="002E1E1C"/>
    <w:rsid w:val="0030601E"/>
    <w:rsid w:val="00310C20"/>
    <w:rsid w:val="00467EC9"/>
    <w:rsid w:val="004706F9"/>
    <w:rsid w:val="00503043"/>
    <w:rsid w:val="00504102"/>
    <w:rsid w:val="005C4E40"/>
    <w:rsid w:val="00652A7C"/>
    <w:rsid w:val="0067151F"/>
    <w:rsid w:val="007029AE"/>
    <w:rsid w:val="00784013"/>
    <w:rsid w:val="007C5C98"/>
    <w:rsid w:val="007D000F"/>
    <w:rsid w:val="007F4FA3"/>
    <w:rsid w:val="00855A3E"/>
    <w:rsid w:val="0089550A"/>
    <w:rsid w:val="008F4237"/>
    <w:rsid w:val="008F47DA"/>
    <w:rsid w:val="00945AE3"/>
    <w:rsid w:val="00956092"/>
    <w:rsid w:val="009A1922"/>
    <w:rsid w:val="009F1B2A"/>
    <w:rsid w:val="00A57756"/>
    <w:rsid w:val="00A650E1"/>
    <w:rsid w:val="00AB3FC5"/>
    <w:rsid w:val="00B04219"/>
    <w:rsid w:val="00B80CBC"/>
    <w:rsid w:val="00BC4C2E"/>
    <w:rsid w:val="00CD0FC4"/>
    <w:rsid w:val="00CD6340"/>
    <w:rsid w:val="00CF4693"/>
    <w:rsid w:val="00D141A1"/>
    <w:rsid w:val="00D5508A"/>
    <w:rsid w:val="00D61122"/>
    <w:rsid w:val="00DB32CC"/>
    <w:rsid w:val="00DE628F"/>
    <w:rsid w:val="00E16704"/>
    <w:rsid w:val="00E40973"/>
    <w:rsid w:val="00E826B0"/>
    <w:rsid w:val="00E922F7"/>
    <w:rsid w:val="00E952D8"/>
    <w:rsid w:val="00EB7047"/>
    <w:rsid w:val="00F2447D"/>
    <w:rsid w:val="00F24E9B"/>
    <w:rsid w:val="00F721C3"/>
    <w:rsid w:val="00F76320"/>
    <w:rsid w:val="00F94A95"/>
    <w:rsid w:val="00FE1A26"/>
    <w:rsid w:val="00FF5DA5"/>
    <w:rsid w:val="01FE0435"/>
    <w:rsid w:val="02DB737A"/>
    <w:rsid w:val="052E0B42"/>
    <w:rsid w:val="058F55C1"/>
    <w:rsid w:val="05CE018D"/>
    <w:rsid w:val="061471C3"/>
    <w:rsid w:val="065437AE"/>
    <w:rsid w:val="06BC0C88"/>
    <w:rsid w:val="0793324F"/>
    <w:rsid w:val="09BD2747"/>
    <w:rsid w:val="0AD102B1"/>
    <w:rsid w:val="0BE1018A"/>
    <w:rsid w:val="0C862C27"/>
    <w:rsid w:val="0FE430CF"/>
    <w:rsid w:val="11D62A5A"/>
    <w:rsid w:val="12C25CFA"/>
    <w:rsid w:val="12DA546C"/>
    <w:rsid w:val="130E36F9"/>
    <w:rsid w:val="137A53CF"/>
    <w:rsid w:val="156C073F"/>
    <w:rsid w:val="159D0524"/>
    <w:rsid w:val="162E0EDB"/>
    <w:rsid w:val="181126FB"/>
    <w:rsid w:val="19DE17A2"/>
    <w:rsid w:val="1AF600DB"/>
    <w:rsid w:val="1C704932"/>
    <w:rsid w:val="1DBA482F"/>
    <w:rsid w:val="1E627891"/>
    <w:rsid w:val="1EAC24BE"/>
    <w:rsid w:val="21135BC6"/>
    <w:rsid w:val="224974D0"/>
    <w:rsid w:val="22735996"/>
    <w:rsid w:val="23196F16"/>
    <w:rsid w:val="23360D50"/>
    <w:rsid w:val="239A29E6"/>
    <w:rsid w:val="24F85A3E"/>
    <w:rsid w:val="26A87638"/>
    <w:rsid w:val="27A00216"/>
    <w:rsid w:val="27D013CD"/>
    <w:rsid w:val="297807B8"/>
    <w:rsid w:val="29E0345D"/>
    <w:rsid w:val="2CDA7EAE"/>
    <w:rsid w:val="2D6B10E5"/>
    <w:rsid w:val="31C33C74"/>
    <w:rsid w:val="32665DD3"/>
    <w:rsid w:val="32E37BA7"/>
    <w:rsid w:val="332C1AE4"/>
    <w:rsid w:val="33423E3B"/>
    <w:rsid w:val="33922FDA"/>
    <w:rsid w:val="346F7425"/>
    <w:rsid w:val="35040F15"/>
    <w:rsid w:val="359E4CFC"/>
    <w:rsid w:val="36A15E2F"/>
    <w:rsid w:val="388C7BED"/>
    <w:rsid w:val="39F437A5"/>
    <w:rsid w:val="3A3622AA"/>
    <w:rsid w:val="3A5D17E9"/>
    <w:rsid w:val="3B1443B4"/>
    <w:rsid w:val="3B553E5F"/>
    <w:rsid w:val="3C097AAF"/>
    <w:rsid w:val="3C3841A6"/>
    <w:rsid w:val="3C53140D"/>
    <w:rsid w:val="3D6E7772"/>
    <w:rsid w:val="3D7143A2"/>
    <w:rsid w:val="3EDD511D"/>
    <w:rsid w:val="412605B8"/>
    <w:rsid w:val="41B721C2"/>
    <w:rsid w:val="422273DD"/>
    <w:rsid w:val="44036FF2"/>
    <w:rsid w:val="44D93B8D"/>
    <w:rsid w:val="45F054CF"/>
    <w:rsid w:val="46B45FBC"/>
    <w:rsid w:val="478A03BA"/>
    <w:rsid w:val="47F65B5D"/>
    <w:rsid w:val="498A0E2B"/>
    <w:rsid w:val="49F239B1"/>
    <w:rsid w:val="4C512C3F"/>
    <w:rsid w:val="4C9C40E3"/>
    <w:rsid w:val="4F26123B"/>
    <w:rsid w:val="50385039"/>
    <w:rsid w:val="507843A3"/>
    <w:rsid w:val="54F47D11"/>
    <w:rsid w:val="5A201A9E"/>
    <w:rsid w:val="5A9141BC"/>
    <w:rsid w:val="5B5908F1"/>
    <w:rsid w:val="5B8738B0"/>
    <w:rsid w:val="5BFE4AA7"/>
    <w:rsid w:val="5CE856E5"/>
    <w:rsid w:val="5E9E4D7E"/>
    <w:rsid w:val="5F626706"/>
    <w:rsid w:val="610B5FB0"/>
    <w:rsid w:val="630D64D3"/>
    <w:rsid w:val="63396794"/>
    <w:rsid w:val="658B2773"/>
    <w:rsid w:val="66F36333"/>
    <w:rsid w:val="67214BDB"/>
    <w:rsid w:val="68A8063B"/>
    <w:rsid w:val="69C633E4"/>
    <w:rsid w:val="6BC8789F"/>
    <w:rsid w:val="6C246094"/>
    <w:rsid w:val="6D4630B3"/>
    <w:rsid w:val="6D9D4B65"/>
    <w:rsid w:val="6E4A644E"/>
    <w:rsid w:val="705C508E"/>
    <w:rsid w:val="718D6E6A"/>
    <w:rsid w:val="72C200C2"/>
    <w:rsid w:val="72FA0C86"/>
    <w:rsid w:val="74725023"/>
    <w:rsid w:val="76D41977"/>
    <w:rsid w:val="7BEE5A44"/>
    <w:rsid w:val="7FB823E5"/>
    <w:rsid w:val="FD8DE6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楷体_GB2312" w:hAnsi="楷体_GB2312" w:eastAsia="楷体_GB2312" w:cs="Times New Roman"/>
      <w:color w:val="000000"/>
      <w:sz w:val="24"/>
      <w:szCs w:val="22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cs="文星简大标宋"/>
      <w:szCs w:val="21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样式1"/>
    <w:basedOn w:val="1"/>
    <w:qFormat/>
    <w:uiPriority w:val="0"/>
    <w:pPr>
      <w:spacing w:line="600" w:lineRule="atLeast"/>
    </w:pPr>
    <w:rPr>
      <w:rFonts w:eastAsia="文星简仿宋"/>
      <w:sz w:val="32"/>
      <w:szCs w:val="20"/>
    </w:rPr>
  </w:style>
  <w:style w:type="character" w:customStyle="1" w:styleId="13">
    <w:name w:val="批注框文本 Char"/>
    <w:link w:val="4"/>
    <w:qFormat/>
    <w:uiPriority w:val="0"/>
    <w:rPr>
      <w:kern w:val="2"/>
      <w:sz w:val="18"/>
      <w:szCs w:val="18"/>
    </w:rPr>
  </w:style>
  <w:style w:type="paragraph" w:customStyle="1" w:styleId="14">
    <w:name w:val="正文文本1"/>
    <w:basedOn w:val="1"/>
    <w:qFormat/>
    <w:uiPriority w:val="0"/>
    <w:pPr>
      <w:widowControl w:val="0"/>
      <w:shd w:val="clear" w:color="auto" w:fill="auto"/>
      <w:spacing w:line="386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beelink</Company>
  <Pages>13</Pages>
  <Words>4817</Words>
  <Characters>4871</Characters>
  <Lines>38</Lines>
  <Paragraphs>10</Paragraphs>
  <TotalTime>27</TotalTime>
  <ScaleCrop>false</ScaleCrop>
  <LinksUpToDate>false</LinksUpToDate>
  <CharactersWithSpaces>5063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2021-01-08T02:32:00Z</dcterms:created>
  <dc:creator>刘冰</dc:creator>
  <cp:lastModifiedBy>test</cp:lastModifiedBy>
  <cp:lastPrinted>2024-05-15T17:20:00Z</cp:lastPrinted>
  <dcterms:modified xsi:type="dcterms:W3CDTF">2024-05-30T11:08:57Z</dcterms:modified>
  <dc:title>山东省财政厅文件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C0A946DFC7C9482FA6C69B741F9111DC</vt:lpwstr>
  </property>
</Properties>
</file>